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الخطير ابن مماتي
</w:t>
      </w:r>
    </w:p>
    <w:p>
      <w:pPr>
        <w:jc w:val="start"/>
        <w:bidi/>
      </w:pPr>
      <w:r>
        <w:rPr>
          <w:rFonts w:ascii="arial" w:hAnsi="arial" w:eastAsia="arial" w:cs="arial"/>
          <w:sz w:val="28"/>
          <w:szCs w:val="28"/>
          <w:b w:val="1"/>
          <w:bCs w:val="1"/>
          <w:rtl/>
        </w:rPr>
        <w:t xml:space="preserve">الخطير ابن مماتي
</w:t>
      </w:r>
    </w:p>
    <w:p>
      <w:pPr/>
      <w:r>
        <w:rPr/>
        <w:t xml:space="preserve">الخطير ابن مماتي  مهذب بن مينا بن زكريا، أبو الاسعد ابن مماتي: شاعر وزير مصري، ينعت بالخطير. كان هو وأسلافه، من أقباط مصر، وأسلم مع جماعة بينهم ابنه أسعد (انظر ترجمته) في ابتداء ملك السلطان صلاح الدين الايوبي. وكان أبوه جوهريا، وتقدم هو في الاعمال الديوانية حتى تولي الوزارة وديوان الجيش في عهد الملك الناصر. وفى الخريدة نماذج رقيقة من شعره. </w:t>
      </w:r>
    </w:p>
    <w:p>
      <w:pPr>
        <w:jc w:val="start"/>
        <w:bidi/>
      </w:pPr>
      <w:r>
        <w:rPr>
          <w:sz w:val="24"/>
          <w:szCs w:val="24"/>
          <w:b w:val="1"/>
          <w:bCs w:val="1"/>
          <w:rtl/>
        </w:rPr>
        <w:t xml:space="preserve">
الأعلام،(دار العلم للملايين - بيروت،2002،ط 15،ج 7،ص 314)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الخطير
</w:t>
      </w:r>
    </w:p>
    <w:p>
      <w:pPr/>
      <w:r>
        <w:rPr/>
        <w:t xml:space="preserve">الخطير والد أسعد بن مماتي تقدم ذكره في ترجمة ولده أسعد في حرف الهمزة فليطلب هناك.</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2026-10-24T08:03:38+00:00</dcterms:created>
  <dcterms:modified xsi:type="dcterms:W3CDTF">2026-10-24T08:03:38+00:00</dcterms:modified>
</cp:coreProperties>
</file>

<file path=docProps/custom.xml><?xml version="1.0" encoding="utf-8"?>
<Properties xmlns="http://schemas.openxmlformats.org/officeDocument/2006/custom-properties" xmlns:vt="http://schemas.openxmlformats.org/officeDocument/2006/docPropsVTypes"/>
</file>