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ابن دقيق العيد
</w:t>
      </w:r>
    </w:p>
    <w:p>
      <w:pPr>
        <w:jc w:val="start"/>
        <w:bidi/>
      </w:pPr>
      <w:r>
        <w:rPr>
          <w:rFonts w:ascii="arial" w:hAnsi="arial" w:eastAsia="arial" w:cs="arial"/>
          <w:sz w:val="28"/>
          <w:szCs w:val="28"/>
          <w:b w:val="1"/>
          <w:bCs w:val="1"/>
          <w:rtl/>
        </w:rPr>
        <w:t xml:space="preserve">ابن دقيق العيد
</w:t>
      </w:r>
    </w:p>
    <w:p>
      <w:pPr/>
      <w:r>
        <w:rPr/>
        <w:t xml:space="preserve">ابن دقيق العيد  موسى بن علي بن وهب بن مطيع القشيري، سراج الدين ابن دقيق العيد: فقيه، له شعر حسن. انتهت اليه رئاسة الفتوى بقوص (في صعيد مصر) ومولده ووفاته فيها. له (المغني) في فقه الشافعية، قال الادفوي: ما اظنه اكمله. وهو اخو تقي الدين أحمد بن علي المعروف مثله بابن دقيق العيد، وذاك اعلم واشهر. </w:t>
      </w:r>
    </w:p>
    <w:p>
      <w:pPr>
        <w:jc w:val="start"/>
        <w:bidi/>
      </w:pPr>
      <w:r>
        <w:rPr>
          <w:sz w:val="24"/>
          <w:szCs w:val="24"/>
          <w:b w:val="1"/>
          <w:bCs w:val="1"/>
          <w:rtl/>
        </w:rPr>
        <w:t xml:space="preserve">
الأعلام،(دار العلم للملايين - بيروت،2002،ط 15،ج 7،ص 325)</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دقيق العيد
</w:t>
      </w:r>
    </w:p>
    <w:p>
      <w:pPr/>
      <w:r>
        <w:rPr/>
        <w:t xml:space="preserve">ابن دقيق العيد سراج الدين موسى بن علي بن وهب.</w:t>
      </w:r>
    </w:p>
    <w:p>
      <w:pPr>
        <w:jc w:val="start"/>
        <w:bidi/>
      </w:pPr>
      <w:r>
        <w:rPr>
          <w:sz w:val="24"/>
          <w:szCs w:val="24"/>
          <w:b w:val="1"/>
          <w:bCs w:val="1"/>
          <w:rtl/>
        </w:rPr>
        <w:t xml:space="preserve">
الوافي بالوفيات،(دار فرانز شتاينر، فيسبادن، ألمانيا / دار إحياء التراث - بيروت،2000،ط 1،ج 14،ص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موسى بن علي بن وهب بن مطيع القشيري القوصي
</w:t>
      </w:r>
    </w:p>
    <w:p>
      <w:pPr/>
      <w:r>
        <w:rPr/>
        <w:t xml:space="preserve">موسى بن علي بن وهب بن مطيع القشيري القوصي الشيخ سراج الدين ابن الشيخ مجد الدين وأخو شيخ الإسلام تقي الدين</w:t>
      </w:r>
    </w:p>
    <w:p/>
    <w:p>
      <w:pPr/>
      <w:r>
        <w:rPr/>
        <w:t xml:space="preserve">ولد بقوص سنة إحدى وأربعين وستمائة وسمع الحديث من أصحاب السلفي وحدث</w:t>
      </w:r>
    </w:p>
    <w:p/>
    <w:p>
      <w:pPr/>
      <w:r>
        <w:rPr/>
        <w:t xml:space="preserve">سمع منه شيخنا أبو حيان النحوي</w:t>
      </w:r>
    </w:p>
    <w:p/>
    <w:p>
      <w:pPr/>
      <w:r>
        <w:rPr/>
        <w:t xml:space="preserve">وكان فقيها جيدا ذكي القريحة تصدى بقوص لنشر العلم والفتيا</w:t>
      </w:r>
    </w:p>
    <w:p/>
    <w:p>
      <w:pPr/>
      <w:r>
        <w:rPr/>
        <w:t xml:space="preserve">وصنف في الفقه كتاب سماه المغني وهذا الكتاب هو الذي نقل عنه ابن الرفعة، فيما إذا نوى المتيمم بتيممه استباحة الفرض والنفل أن سراج الدين ابن دقيق العيد قال: يستبيحهما على أصح الوجهين والمعروف في المذهب أنه يستبيحهما بلا خلاف قاله النووي وقال الإمام إن الطرق اتفقت عليه</w:t>
      </w:r>
    </w:p>
    <w:p/>
    <w:p>
      <w:pPr/>
      <w:r>
        <w:rPr/>
        <w:t xml:space="preserve">قال ابن لرفعة وقضية ما نقله سراج الدين أن الوجه الآخر أنه لا يستبيحهما بل أحدهما وقول الغزالي فالصحيح جوازهما لا ينافي دعوى الإمام اتفاق الطرق على جوازهما إذ مقابل الصحيح في كلامه أنه لا بد من تعين الفريضة والمعنى فالصحيح جوازهما وإن لم يعين الفريضة وكلام ابن دقيق العيد يجوز أن يؤول بمثل ما أول به كلام الغزالي</w:t>
      </w:r>
    </w:p>
    <w:p/>
    <w:p>
      <w:pPr/>
      <w:r>
        <w:rPr/>
        <w:t xml:space="preserve">ومن شعر سراج الدين</w:t>
      </w:r>
    </w:p>
    <w:p/>
    <w:p>
      <w:pPr>
        <w:jc w:val="center"/>
      </w:pPr>
      <w:r>
        <w:rPr>
          <w:color w:val="ff0000"/>
        </w:rPr>
        <w:t xml:space="preserve">وحقك ما أعرضت عنك ملالة</w:t>
      </w:r>
      <w:r>
        <w:rPr>
          <w:color w:val="ff0000"/>
        </w:rPr>
        <w:t xml:space="preserve">      </w:t>
      </w:r>
      <w:r>
        <w:rPr>
          <w:color w:val="ff0000"/>
        </w:rPr>
        <w:t xml:space="preserve">ولا أنا مما تعلمين مفيق</w:t>
      </w:r>
    </w:p>
    <w:p/>
    <w:p>
      <w:pPr>
        <w:jc w:val="center"/>
      </w:pPr>
      <w:r>
        <w:rPr>
          <w:color w:val="ff0000"/>
        </w:rPr>
        <w:t xml:space="preserve">ولكن خشيت الكاشحين لأنني</w:t>
      </w:r>
      <w:r>
        <w:rPr>
          <w:color w:val="ff0000"/>
        </w:rPr>
        <w:t xml:space="preserve">      </w:t>
      </w:r>
      <w:r>
        <w:rPr>
          <w:color w:val="ff0000"/>
        </w:rPr>
        <w:t xml:space="preserve">على سرنا من أن يذاع شفيق</w:t>
      </w:r>
    </w:p>
    <w:p/>
    <w:p>
      <w:pPr>
        <w:jc w:val="center"/>
      </w:pPr>
      <w:r>
        <w:rPr>
          <w:color w:val="ff0000"/>
        </w:rPr>
        <w:t xml:space="preserve">فأصبحت كالظمآن شاهد مشربا</w:t>
      </w:r>
      <w:r>
        <w:rPr>
          <w:color w:val="ff0000"/>
        </w:rPr>
        <w:t xml:space="preserve">      </w:t>
      </w:r>
      <w:r>
        <w:rPr>
          <w:color w:val="ff0000"/>
        </w:rPr>
        <w:t xml:space="preserve">قريبا ولكن ما إليه طريق</w:t>
      </w:r>
    </w:p>
    <w:p/>
    <w:p>
      <w:pPr/>
      <w:r>
        <w:rPr/>
        <w:t xml:space="preserve">مات بقوص سنة خمس وثمانين وستمائة</w:t>
      </w:r>
    </w:p>
    <w:p>
      <w:pPr>
        <w:jc w:val="start"/>
        <w:bidi/>
      </w:pPr>
      <w:r>
        <w:rPr>
          <w:sz w:val="24"/>
          <w:szCs w:val="24"/>
          <w:b w:val="1"/>
          <w:bCs w:val="1"/>
          <w:rtl/>
        </w:rPr>
        <w:t xml:space="preserve">
طبقات الشافعية الكبرى،(دار هجر - القاهرة،1992،ط 2،ج 8،ص 376)</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موسى بن علي بن وهب بن مطيع القشيرى -من أهل قوص- الشيخ سراج الدين ابن الشيخ مجد الدين.
</w:t>
      </w:r>
    </w:p>
    <w:p>
      <w:pPr/>
      <w:r>
        <w:rPr/>
        <w:t xml:space="preserve">موسى بن علي بن وهب بن مطيع القشيرى -من أهل قوص- الشيخ سراج الدين ابن الشيخ مجد الدين. </w:t>
      </w:r>
    </w:p>
    <w:p/>
    <w:p>
      <w:pPr/>
      <w:r>
        <w:rPr/>
        <w:t xml:space="preserve">أخو الشيخ تقى الدين السالف، سمع من أصحاب السلفى، وعنه أبو حيان شيخنا، وكان فقيهاً بحاثاً، تصدى بقوص لنشر العلم والفتوى وصنف كتاباً سماه ’’المغنى’’، ولد بقوص سنة إحدى وأربعين وستمائة، ومات بها سنة خمس وثمانين وستمائة، ومن شعره:</w:t>
      </w:r>
    </w:p>
    <w:p/>
    <w:p>
      <w:pPr>
        <w:jc w:val="center"/>
      </w:pPr>
      <w:r>
        <w:rPr>
          <w:color w:val="ff0000"/>
        </w:rPr>
        <w:t xml:space="preserve">وحقُّكِ ما أعرضتُ عنكِ ملالةً</w:t>
      </w:r>
      <w:r>
        <w:rPr>
          <w:color w:val="ff0000"/>
        </w:rPr>
        <w:t xml:space="preserve">      </w:t>
      </w:r>
      <w:r>
        <w:rPr>
          <w:color w:val="ff0000"/>
        </w:rPr>
        <w:t xml:space="preserve">ولا أنا ممن تعلمين مفيقُ</w:t>
      </w:r>
    </w:p>
    <w:p/>
    <w:p>
      <w:pPr>
        <w:jc w:val="center"/>
      </w:pPr>
      <w:r>
        <w:rPr>
          <w:color w:val="ff0000"/>
        </w:rPr>
        <w:t xml:space="preserve">ولكن خشيت الكاشحين لأنَّنى</w:t>
      </w:r>
      <w:r>
        <w:rPr>
          <w:color w:val="ff0000"/>
        </w:rPr>
        <w:t xml:space="preserve">      </w:t>
      </w:r>
      <w:r>
        <w:rPr>
          <w:color w:val="ff0000"/>
        </w:rPr>
        <w:t xml:space="preserve">على سرِنا من إن يُذاع شَفِيقُ</w:t>
      </w:r>
    </w:p>
    <w:p/>
    <w:p>
      <w:pPr>
        <w:jc w:val="center"/>
      </w:pPr>
      <w:r>
        <w:rPr>
          <w:color w:val="ff0000"/>
        </w:rPr>
        <w:t xml:space="preserve">فأصْبحتُ كالظمآن شاهد مَشْرباً</w:t>
      </w:r>
      <w:r>
        <w:rPr>
          <w:color w:val="ff0000"/>
        </w:rPr>
        <w:t xml:space="preserve">      </w:t>
      </w:r>
      <w:r>
        <w:rPr>
          <w:color w:val="ff0000"/>
        </w:rPr>
        <w:t xml:space="preserve">قريباً ولكنْ ما إليه طَرِيقُ’’.</w:t>
      </w:r>
    </w:p>
    <w:p/>
    <w:p>
      <w:pPr>
        <w:jc w:val="start"/>
        <w:bidi/>
      </w:pPr>
      <w:r>
        <w:rPr>
          <w:sz w:val="24"/>
          <w:szCs w:val="24"/>
          <w:b w:val="1"/>
          <w:bCs w:val="1"/>
          <w:rtl/>
        </w:rPr>
        <w:t xml:space="preserve">
العقد المذهب في طبقات حملة المذهب،(دار الكتب العلمية، بيروت - لبنان،1997،ط 1،ج 1،ص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2026-10-24T02:05:33+00:00</dcterms:created>
  <dcterms:modified xsi:type="dcterms:W3CDTF">2026-10-24T02:05:33+00:00</dcterms:modified>
</cp:coreProperties>
</file>

<file path=docProps/custom.xml><?xml version="1.0" encoding="utf-8"?>
<Properties xmlns="http://schemas.openxmlformats.org/officeDocument/2006/custom-properties" xmlns:vt="http://schemas.openxmlformats.org/officeDocument/2006/docPropsVTypes"/>
</file>