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الشيخ أبو بكر محمد بن أحمد بن طاهر
</w:t>
      </w:r>
    </w:p>
    <w:p>
      <w:pPr>
        <w:jc w:val="start"/>
        <w:bidi/>
      </w:pPr>
      <w:r>
        <w:rPr>
          <w:rFonts w:ascii="arial" w:hAnsi="arial" w:eastAsia="arial" w:cs="arial"/>
          <w:sz w:val="28"/>
          <w:szCs w:val="28"/>
          <w:b w:val="1"/>
          <w:bCs w:val="1"/>
          <w:rtl/>
        </w:rPr>
        <w:t xml:space="preserve">الشيخ أبو بكر محمد بن أحمد بن طاهر
</w:t>
      </w:r>
    </w:p>
    <w:p>
      <w:pPr/>
      <w:r>
        <w:rPr/>
        <w:t xml:space="preserve">الشيخ أبو بكر محمد بن أحمد بن طاهر الأنصاري الإشبيلي الملقب بالخدب</w:t>
      </w:r>
    </w:p>
    <w:p/>
    <w:p>
      <w:pPr/>
      <w:r>
        <w:rPr/>
        <w:t xml:space="preserve">توفي في حدود سنة 580</w:t>
      </w:r>
    </w:p>
    <w:p/>
    <w:p>
      <w:pPr/>
      <w:r>
        <w:rPr/>
        <w:t xml:space="preserve">والخدب الرجل الطويل سمي به لطول باعه في علوم الأدب، كان يتعاطى الخياطة مع إنه أمام في العربية وهو أستاذ ابن خروف النحوي وله شرح على كتاب سيبويه وعليه اعتمد تلميذه المذكور في شرحه لكتاب سيبويه وله تعليقة على الإيضاح لأبي علي الفارسي. ذكره صاحب كتاب تأسيس الشيعة في كتابه على ما حكي عنه ولم ينقل مستند الحكم بتشيعه.</w:t>
      </w:r>
    </w:p>
    <w:p>
      <w:pPr>
        <w:jc w:val="start"/>
        <w:bidi/>
      </w:pPr>
      <w:r>
        <w:rPr>
          <w:sz w:val="24"/>
          <w:szCs w:val="24"/>
          <w:b w:val="1"/>
          <w:bCs w:val="1"/>
          <w:rtl/>
        </w:rPr>
        <w:t xml:space="preserve">
أعيان الشيعة،(دار التعارف للمطبوعات - بيروت،1983،ط 1،ج 9،ص 119)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الخدب النحوي
</w:t>
      </w:r>
    </w:p>
    <w:p>
      <w:pPr/>
      <w:r>
        <w:rPr/>
        <w:t xml:space="preserve">الخدب النحوي محمد بن أحمد بن طاهر أبو بكر الأنصاري الإشبيلي النحوي يعرف بالخدب بكسر الخاء المعجمة والدال المهملة المفتوحة والباء الموحدة المشددة، أخذ العربية عن أبي القسم ابن الرماك وغيره وساد أهل زمانه في العربية ودرس في بلاد مختلفة وكان قايما على كتاب سيبويه وله عليه تعليقة سماها الطرر لم يسبق إلى مثلها وكان يعاني التجارة، أخذ عنه أبو ذر الخشنى وأبو الحسن ابن خروف وأقرأ بمصر وحج وورد حلب والبصرة ثم رجع واختلط عقله فأقام ببجاية وربما ثاب إليه عقله فتكلم في مسايل أحسن ما يكون، وتوفي سنة ثمانين وخمس ماية </w:t>
      </w:r>
    </w:p>
    <w:p>
      <w:pPr>
        <w:jc w:val="start"/>
        <w:bidi/>
      </w:pPr>
      <w:r>
        <w:rPr>
          <w:sz w:val="24"/>
          <w:szCs w:val="24"/>
          <w:b w:val="1"/>
          <w:bCs w:val="1"/>
          <w:rtl/>
        </w:rPr>
        <w:t xml:space="preserve">
الوافي بالوفيات،(دار فرانز شتاينر، فيسبادن، ألمانيا / دار إحياء التراث - بيروت،2000،ط 1،ج 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الخدب النحوي
</w:t>
      </w:r>
    </w:p>
    <w:p>
      <w:pPr/>
      <w:r>
        <w:rPr/>
        <w:t xml:space="preserve">الخدب النحوي اسمه محمد بن أحمد بن طاهر.</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2026-10-23T04:02:19+00:00</dcterms:created>
  <dcterms:modified xsi:type="dcterms:W3CDTF">2026-10-23T04:02:19+00:00</dcterms:modified>
</cp:coreProperties>
</file>

<file path=docProps/custom.xml><?xml version="1.0" encoding="utf-8"?>
<Properties xmlns="http://schemas.openxmlformats.org/officeDocument/2006/custom-properties" xmlns:vt="http://schemas.openxmlformats.org/officeDocument/2006/docPropsVTypes"/>
</file>