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سلامة بن مبارك
</w:t>
      </w:r>
    </w:p>
    <w:p>
      <w:pPr>
        <w:jc w:val="start"/>
        <w:bidi/>
      </w:pPr>
      <w:r>
        <w:rPr>
          <w:rFonts w:ascii="arial" w:hAnsi="arial" w:eastAsia="arial" w:cs="arial"/>
          <w:sz w:val="28"/>
          <w:szCs w:val="28"/>
          <w:b w:val="1"/>
          <w:bCs w:val="1"/>
          <w:rtl/>
        </w:rPr>
        <w:t xml:space="preserve">سلامة بن مبارك
</w:t>
      </w:r>
    </w:p>
    <w:p>
      <w:pPr/>
      <w:r>
        <w:rPr/>
        <w:t xml:space="preserve">سلامة بن مبارك  سلامة بن مبارك بن رحمون بن موسى: طبيب مصري. اطلع على كتب جالينوس واشتغل بالمنطق والعلوم الحكمية. وصنف كتبا، منها ’’نظام الموجودات’’ ومقالة في ’’العلم الإلهي’’ ومقالة في ’’خصب أبدان لنساء بمصر عند تناهي الشباب’’. </w:t>
      </w:r>
    </w:p>
    <w:p>
      <w:pPr>
        <w:jc w:val="start"/>
        <w:bidi/>
      </w:pPr>
      <w:r>
        <w:rPr>
          <w:sz w:val="24"/>
          <w:szCs w:val="24"/>
          <w:b w:val="1"/>
          <w:bCs w:val="1"/>
          <w:rtl/>
        </w:rPr>
        <w:t xml:space="preserve">
الأعلام،(دار العلم للملايين - بيروت،2002،ط 15،ج 3،ص 107)</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ابن رحمون الطبيب
</w:t>
      </w:r>
    </w:p>
    <w:p>
      <w:pPr/>
      <w:r>
        <w:rPr/>
        <w:t xml:space="preserve">ابن رحمون الطبيب سلامة بن مبارك</w:t>
      </w:r>
    </w:p>
    <w:p>
      <w:pPr>
        <w:jc w:val="start"/>
        <w:bidi/>
      </w:pPr>
      <w:r>
        <w:rPr>
          <w:sz w:val="24"/>
          <w:szCs w:val="24"/>
          <w:b w:val="1"/>
          <w:bCs w:val="1"/>
          <w:rtl/>
        </w:rPr>
        <w:t xml:space="preserve">
الوافي بالوفيات،(دار فرانز شتاينر، فيسبادن، ألمانيا / دار إحياء التراث - بيروت،2000،ط 1،ج 14،ص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ابن رحمون الطبيب
</w:t>
      </w:r>
    </w:p>
    <w:p>
      <w:pPr/>
      <w:r>
        <w:rPr/>
        <w:t xml:space="preserve">ابن رحمون الطبيب سلامة بن مبارك بن رحمون بن موسى. من أطباء مصر وفضلائها، كان يهوديا وله أعمال حسنة في الطب واطلاع على كتب جالينوس والبحث عن غوامضها، وكان قد قرأ على إفرائيم مدة. ولابن رحمون عمل في المنطق والحكمة، وله في ذلك تصانيف. وكان شيخه في ذلك الأمير أبو الوفاء محمود الدولة المبشر بن فاتك. وجرت بين سلامة وبين أمية بن عبد العزيز الأندلسي بمصر مباحث، وذكره أمية في الرسالة المصرية وحط عليه فيها ونسبه إلى الجهل في ما يدعيه من العلوم، وقال: كان بمصر طبيب يسمى جرجس الفيلسوف على ما قيل في الغراب أبو البيضاء وفي اللديغ سليم، قد فرغ للتولع بابن رحمون والإزراء عليه يزور فصولا طبية وفلسفية يقررها في معارض ألفاظ القوم وهي محال لا معنى لها ولا فائدة فيها. ثم إنه ينفذها إلى من يسأله عن معانيها ويتكلم عليها ويشرحها بزعمه دون تيقظ ولا تحفظ بل باسترسال واستعجال وقلة اكترث فيؤخذ منها ما يضحك منه وأنشدت لجرجس هذا فيه: </w:t>
      </w:r>
    </w:p>
    <w:p/>
    <w:p>
      <w:pPr>
        <w:jc w:val="center"/>
      </w:pPr>
      <w:r>
        <w:rPr>
          <w:color w:val="ff0000"/>
        </w:rPr>
        <w:t xml:space="preserve">إن أبا الخير على جهله</w:t>
      </w:r>
      <w:r>
        <w:rPr>
          <w:color w:val="ff0000"/>
        </w:rPr>
        <w:t xml:space="preserve">      </w:t>
      </w:r>
      <w:r>
        <w:rPr>
          <w:color w:val="ff0000"/>
        </w:rPr>
        <w:t xml:space="preserve">يخف في كفته الفاضل</w:t>
      </w:r>
    </w:p>
    <w:p/>
    <w:p>
      <w:pPr>
        <w:jc w:val="center"/>
      </w:pPr>
      <w:r>
        <w:rPr>
          <w:color w:val="ff0000"/>
        </w:rPr>
        <w:t xml:space="preserve">عليله المسكين من شؤمه</w:t>
      </w:r>
      <w:r>
        <w:rPr>
          <w:color w:val="ff0000"/>
        </w:rPr>
        <w:t xml:space="preserve">      </w:t>
      </w:r>
      <w:r>
        <w:rPr>
          <w:color w:val="ff0000"/>
        </w:rPr>
        <w:t xml:space="preserve">في بحر هلك ما له ساحل</w:t>
      </w:r>
    </w:p>
    <w:p/>
    <w:p>
      <w:pPr>
        <w:jc w:val="center"/>
      </w:pPr>
      <w:r>
        <w:rPr>
          <w:color w:val="ff0000"/>
        </w:rPr>
        <w:t xml:space="preserve">ثلاثة تدخل في دفعة</w:t>
      </w:r>
      <w:r>
        <w:rPr>
          <w:color w:val="ff0000"/>
        </w:rPr>
        <w:t xml:space="preserve">      </w:t>
      </w:r>
      <w:r>
        <w:rPr>
          <w:color w:val="ff0000"/>
        </w:rPr>
        <w:t xml:space="preserve">طلعته والنعش وغاسل</w:t>
      </w:r>
    </w:p>
    <w:p/>
    <w:p>
      <w:pPr/>
      <w:r>
        <w:rPr/>
        <w:t xml:space="preserve">ولبعضهم فيه: </w:t>
      </w:r>
    </w:p>
    <w:p/>
    <w:p>
      <w:pPr>
        <w:jc w:val="center"/>
      </w:pPr>
      <w:r>
        <w:rPr>
          <w:color w:val="ff0000"/>
        </w:rPr>
        <w:t xml:space="preserve">لأبي الخير في العلا</w:t>
      </w:r>
      <w:r>
        <w:rPr>
          <w:color w:val="ff0000"/>
        </w:rPr>
        <w:t xml:space="preserve">      </w:t>
      </w:r>
      <w:r>
        <w:rPr>
          <w:color w:val="ff0000"/>
        </w:rPr>
        <w:t xml:space="preserve">ج يد ما تقصر</w:t>
      </w:r>
    </w:p>
    <w:p/>
    <w:p>
      <w:pPr>
        <w:jc w:val="center"/>
      </w:pPr>
      <w:r>
        <w:rPr>
          <w:color w:val="ff0000"/>
        </w:rPr>
        <w:t xml:space="preserve">كل من يستطبه</w:t>
      </w:r>
      <w:r>
        <w:rPr>
          <w:color w:val="ff0000"/>
        </w:rPr>
        <w:t xml:space="preserve">      </w:t>
      </w:r>
      <w:r>
        <w:rPr>
          <w:color w:val="ff0000"/>
        </w:rPr>
        <w:t xml:space="preserve">بعد يومين يقبر</w:t>
      </w:r>
    </w:p>
    <w:p/>
    <w:p>
      <w:pPr>
        <w:jc w:val="center"/>
      </w:pPr>
      <w:r>
        <w:rPr>
          <w:color w:val="ff0000"/>
        </w:rPr>
        <w:t xml:space="preserve">والذي غاب عنكم</w:t>
      </w:r>
      <w:r>
        <w:rPr>
          <w:color w:val="ff0000"/>
        </w:rPr>
        <w:t xml:space="preserve">      </w:t>
      </w:r>
      <w:r>
        <w:rPr>
          <w:color w:val="ff0000"/>
        </w:rPr>
        <w:t xml:space="preserve">وشهدناه أكثر</w:t>
      </w:r>
    </w:p>
    <w:p/>
    <w:p>
      <w:pPr/>
      <w:r>
        <w:rPr/>
        <w:t xml:space="preserve">وفيه قيل أيضا: </w:t>
      </w:r>
    </w:p>
    <w:p/>
    <w:p>
      <w:pPr>
        <w:jc w:val="center"/>
      </w:pPr>
      <w:r>
        <w:rPr>
          <w:color w:val="ff0000"/>
        </w:rPr>
        <w:t xml:space="preserve">جنون أبي الخير الجنون بعينه</w:t>
      </w:r>
      <w:r>
        <w:rPr>
          <w:color w:val="ff0000"/>
        </w:rPr>
        <w:t xml:space="preserve">      </w:t>
      </w:r>
      <w:r>
        <w:rPr>
          <w:color w:val="ff0000"/>
        </w:rPr>
        <w:t xml:space="preserve">وكل جنون عنده غاية العقل</w:t>
      </w:r>
    </w:p>
    <w:p/>
    <w:p>
      <w:pPr>
        <w:jc w:val="center"/>
      </w:pPr>
      <w:r>
        <w:rPr>
          <w:color w:val="ff0000"/>
        </w:rPr>
        <w:t xml:space="preserve">خذوه فغلوه وشدوا وثاقه</w:t>
      </w:r>
      <w:r>
        <w:rPr>
          <w:color w:val="ff0000"/>
        </w:rPr>
        <w:t xml:space="preserve">      </w:t>
      </w:r>
      <w:r>
        <w:rPr>
          <w:color w:val="ff0000"/>
        </w:rPr>
        <w:t xml:space="preserve">فما عاقل من يستهين بمختل</w:t>
      </w:r>
    </w:p>
    <w:p/>
    <w:p>
      <w:pPr>
        <w:jc w:val="center"/>
      </w:pPr>
      <w:r>
        <w:rPr>
          <w:color w:val="ff0000"/>
        </w:rPr>
        <w:t xml:space="preserve">وقد كان يوذي الناس بالقول وحده</w:t>
      </w:r>
      <w:r>
        <w:rPr>
          <w:color w:val="ff0000"/>
        </w:rPr>
        <w:t xml:space="preserve">      </w:t>
      </w:r>
      <w:r>
        <w:rPr>
          <w:color w:val="ff0000"/>
        </w:rPr>
        <w:t xml:space="preserve">وقد صار يوذي الناس بالقول والفعل</w:t>
      </w:r>
    </w:p>
    <w:p/>
    <w:p>
      <w:pPr/>
      <w:r>
        <w:rPr/>
        <w:t xml:space="preserve">ولابن رحمون من التصانيف ’’كتاب نظام الموجودات’’، ’’مقالة في السبب الموجب لقلة المطر بمصر’’، ’’مقالة في العلم الإلهي’’، ’’مقالة في خصب أبدان النساء بمصر عند تناهي شبابهن’’. </w:t>
      </w:r>
    </w:p>
    <w:p>
      <w:pPr>
        <w:jc w:val="start"/>
        <w:bidi/>
      </w:pPr>
      <w:r>
        <w:rPr>
          <w:sz w:val="24"/>
          <w:szCs w:val="24"/>
          <w:b w:val="1"/>
          <w:bCs w:val="1"/>
          <w:rtl/>
        </w:rPr>
        <w:t xml:space="preserve">
الوافي بالوفيات،(دار فرانز شتاينر، فيسبادن، ألمانيا / دار إحياء التراث - بيروت،2000،ط 1،ج 15،ص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2026-10-23T20:59:27+00:00</dcterms:created>
  <dcterms:modified xsi:type="dcterms:W3CDTF">2026-10-23T20:59:27+00:00</dcterms:modified>
</cp:coreProperties>
</file>

<file path=docProps/custom.xml><?xml version="1.0" encoding="utf-8"?>
<Properties xmlns="http://schemas.openxmlformats.org/officeDocument/2006/custom-properties" xmlns:vt="http://schemas.openxmlformats.org/officeDocument/2006/docPropsVTypes"/>
</file>