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أصيبعة
</w:t>
      </w:r>
    </w:p>
    <w:p>
      <w:pPr>
        <w:jc w:val="start"/>
        <w:bidi/>
      </w:pPr>
      <w:r>
        <w:rPr>
          <w:rFonts w:ascii="arial" w:hAnsi="arial" w:eastAsia="arial" w:cs="arial"/>
          <w:sz w:val="28"/>
          <w:szCs w:val="28"/>
          <w:b w:val="1"/>
          <w:bCs w:val="1"/>
          <w:rtl/>
        </w:rPr>
        <w:t xml:space="preserve">ابن أبي أصيبعة
</w:t>
      </w:r>
    </w:p>
    <w:p>
      <w:pPr/>
      <w:r>
        <w:rPr/>
        <w:t xml:space="preserve">ابن أبي أصيبعة  علي بن خليفة بن يونس الخزرجي الانصاري أبو الحسن، رشيد الدين، من آل أبي أصيبعة: طبيب، موسيقي عارف بالادب. وهو عم ابن أبي أصيبعة (أحمد بن القاسم) صاحب طبقات الاطباء. ولد بحلب وانتقل إلى القاهرة، ثم سكن دمشق. واستدعاه الملك الأمجد (صاحب بعلبك) فأطلق له جراية وراتبا. وتوفى بدمشق. من كتبه (الموجز المفيد) في علم الحساب، و (كتاب المساحة) و (طب السوق) ورسالة في (النبض وموازنته للحركات الموسيقية). </w:t>
      </w:r>
    </w:p>
    <w:p>
      <w:pPr>
        <w:jc w:val="start"/>
        <w:bidi/>
      </w:pPr>
      <w:r>
        <w:rPr>
          <w:sz w:val="24"/>
          <w:szCs w:val="24"/>
          <w:b w:val="1"/>
          <w:bCs w:val="1"/>
          <w:rtl/>
        </w:rPr>
        <w:t xml:space="preserve">
الأعلام،(دار العلم للملايين - بيروت،2002،ط 15،ج 4،ص 285)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أصيبعة الرشيد
</w:t>
      </w:r>
    </w:p>
    <w:p>
      <w:pPr/>
      <w:r>
        <w:rPr/>
        <w:t xml:space="preserve">ابن أبي أصيبعة الرشيد علي بن خليفة.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2026-10-23T12:52:23+00:00</dcterms:created>
  <dcterms:modified xsi:type="dcterms:W3CDTF">2026-10-23T12:52:23+00:00</dcterms:modified>
</cp:coreProperties>
</file>

<file path=docProps/custom.xml><?xml version="1.0" encoding="utf-8"?>
<Properties xmlns="http://schemas.openxmlformats.org/officeDocument/2006/custom-properties" xmlns:vt="http://schemas.openxmlformats.org/officeDocument/2006/docPropsVTypes"/>
</file>