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ذو الشامة محمد بن عمرو بن الوليد بن عقبة بن أبي معيط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ذو الشامة محمد بن عمرو بن الوليد بن عقبة بن أبي معيط
</w:t>
      </w:r>
    </w:p>
    <w:p>
      <w:pPr/>
      <w:r>
        <w:rPr/>
        <w:t xml:space="preserve">ذو الشامة محمد بن عمرو بن الوليد بن عقبة بن أبي معيط ويعرف بذي الشامة ابن أبي قطيفة.</w:t>
      </w:r>
    </w:p>
    <w:p/>
    <w:p>
      <w:pPr/>
      <w:r>
        <w:rPr/>
        <w:t xml:space="preserve">ولاه يزيد بن عبد الملك الكوفة، وهو القائل يرثي مسلمة بن عبد الملك:</w:t>
      </w:r>
    </w:p>
    <w:p/>
    <w:p>
      <w:pPr>
        <w:jc w:val="center"/>
      </w:pPr>
      <w:r>
        <w:rPr>
          <w:color w:val="ff0000"/>
        </w:rPr>
        <w:t xml:space="preserve">ضاق صدري فما يحن حراكا</w:t>
      </w:r>
      <w:r>
        <w:rPr>
          <w:color w:val="ff0000"/>
        </w:rPr>
        <w:t xml:space="preserve">      </w:t>
      </w:r>
      <w:r>
        <w:rPr>
          <w:color w:val="ff0000"/>
        </w:rPr>
        <w:t xml:space="preserve">عي عن أن يجيئه ما دهاكا</w:t>
      </w:r>
    </w:p>
    <w:p/>
    <w:p>
      <w:pPr>
        <w:jc w:val="center"/>
      </w:pPr>
      <w:r>
        <w:rPr>
          <w:color w:val="ff0000"/>
        </w:rPr>
        <w:t xml:space="preserve">كل ميت قد اضطلعت عليه الـ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ـحزن ثم اغتفرت فيه الهلاكا</w:t>
      </w:r>
    </w:p>
    <w:p/>
    <w:p>
      <w:pPr>
        <w:jc w:val="center"/>
      </w:pPr>
      <w:r>
        <w:rPr>
          <w:color w:val="ff0000"/>
        </w:rPr>
        <w:t xml:space="preserve">قبل ميت أو قبل قبر على الجا</w:t>
      </w:r>
      <w:r>
        <w:rPr>
          <w:color w:val="ff0000"/>
        </w:rPr>
        <w:t xml:space="preserve">      </w:t>
      </w:r>
      <w:r>
        <w:rPr>
          <w:color w:val="ff0000"/>
        </w:rPr>
        <w:t xml:space="preserve">لوت لم أستطع عليه اتراكا</w:t>
      </w:r>
    </w:p>
    <w:p/>
    <w:p>
      <w:pPr>
        <w:jc w:val="center"/>
      </w:pPr>
      <w:r>
        <w:rPr>
          <w:color w:val="ff0000"/>
        </w:rPr>
        <w:t xml:space="preserve">زائن للقبور فيها كما كنـ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ـت تزين السلطان والأملاكا</w:t>
      </w:r>
    </w:p>
    <w:p/>
    <w:p>
      <w:pPr/>
      <w:r>
        <w:rPr/>
        <w:t xml:space="preserve">الحربي البغداذي محمد بن عمرو بن سعيد الحربي أبو جعفر البغداذي.</w:t>
      </w:r>
    </w:p>
    <w:p/>
    <w:p>
      <w:pPr/>
      <w:r>
        <w:rPr/>
        <w:t xml:space="preserve">قال المرذباني: ضعيف الشعر كان يهاجي التمار والمسلمي وغيرهما وهو القائل في جرادة الكاتب:</w:t>
      </w:r>
    </w:p>
    <w:p/>
    <w:p>
      <w:pPr>
        <w:jc w:val="center"/>
      </w:pPr>
      <w:r>
        <w:rPr>
          <w:color w:val="ff0000"/>
        </w:rPr>
        <w:t xml:space="preserve">أتيتك مشتاقا وجئت مسلما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عليك وإني باحتجابك عالم</w:t>
      </w:r>
    </w:p>
    <w:p/>
    <w:p>
      <w:pPr>
        <w:jc w:val="center"/>
      </w:pPr>
      <w:r>
        <w:rPr>
          <w:color w:val="ff0000"/>
        </w:rPr>
        <w:t xml:space="preserve">فأخبرني البواب أنك نائم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وأنت إذا استيقظت أيضا فنائم</w:t>
      </w:r>
    </w:p>
    <w:p/>
    <w:p>
      <w:pPr/>
      <w:r>
        <w:rPr/>
        <w:t xml:space="preserve">ومنهم من رواهما لإسماعيل بن بلبل والصحيح أنهما للحربي. توفي..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ذو الشامة
</w:t>
      </w:r>
    </w:p>
    <w:p>
      <w:pPr/>
      <w:r>
        <w:rPr/>
        <w:t xml:space="preserve">ذو الشامة  محمد بن عمرو.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2026-10-23T09:00:44+00:00</dcterms:created>
  <dcterms:modified xsi:type="dcterms:W3CDTF">2026-10-23T09:00:44+00:00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