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ذر الشافعي محمد بن الفضل بن عبد الله أبو ذر التميمي الفقيه الشافعي الجرجاني
</w:t>
      </w:r>
    </w:p>
    <w:p>
      <w:pPr>
        <w:jc w:val="start"/>
        <w:bidi/>
      </w:pPr>
      <w:r>
        <w:rPr>
          <w:rFonts w:ascii="arial" w:hAnsi="arial" w:eastAsia="arial" w:cs="arial"/>
          <w:sz w:val="28"/>
          <w:szCs w:val="28"/>
          <w:b w:val="1"/>
          <w:bCs w:val="1"/>
          <w:rtl/>
        </w:rPr>
        <w:t xml:space="preserve">أبو ذر الشافعي محمد بن الفضل بن عبد الله أبو ذر التميمي الفقيه الشافعي الجرجاني
</w:t>
      </w:r>
    </w:p>
    <w:p>
      <w:pPr/>
      <w:r>
        <w:rPr/>
        <w:t xml:space="preserve">أبو ذر الشافعي محمد بن الفضل بن عبد الله أبو ذر التميمي الفقيه الشافعي الجرجاني كان رئيس جرجان وكان جوادا ممدحا وداره مجمع الفضلاء والعلماء، رحل إلى البلاد وسمع خلقا كثيرا منهم الحسن بن علي بن خلف وغيره، روى عنه الدارقطني وأقرانه.</w:t>
      </w:r>
    </w:p>
    <w:p/>
    <w:p>
      <w:pPr/>
      <w:r>
        <w:rPr/>
        <w:t xml:space="preserve">وتوفي سنة أربع وعشرين وثلاث مائة.</w:t>
      </w:r>
    </w:p>
    <w:p>
      <w:pPr>
        <w:jc w:val="start"/>
        <w:bidi/>
      </w:pPr>
      <w:r>
        <w:rPr>
          <w:sz w:val="24"/>
          <w:szCs w:val="24"/>
          <w:b w:val="1"/>
          <w:bCs w:val="1"/>
          <w:rtl/>
        </w:rPr>
        <w:t xml:space="preserve">
الوافي بالوفيات،(دار فرانز شتاينر، فيسبادن، ألمانيا / دار إحياء التراث - بيروت،2000،ط 1،ج 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ذر الشافعي
</w:t>
      </w:r>
    </w:p>
    <w:p>
      <w:pPr/>
      <w:r>
        <w:rPr/>
        <w:t xml:space="preserve">أبو ذر الشافعي  اسمه محمد بن الفضل.</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ذر الحنفي
</w:t>
      </w:r>
    </w:p>
    <w:p>
      <w:pPr/>
      <w:r>
        <w:rPr/>
        <w:t xml:space="preserve">أبو ذر الحنفي. إمام. له «تفسير» أفتى فيمن قال يا رب جمعت العقوبات علي تسخطا، يكفر، ذكره في «القنية».</w:t>
      </w:r>
    </w:p>
    <w:p/>
    <w:p>
      <w:pPr/>
      <w:r>
        <w:rPr/>
        <w:t xml:space="preserve">وذكر في تفسيره الكلاب ثلاثة، كلب يضر وهو الذي أمرنا بقتله، وكلب ينفع ولا يضر فيجوز بيعه وإمساكه، وكلب لا ينفع ولا يضر فلا يتعرض له.</w:t>
      </w:r>
    </w:p>
    <w:p/>
    <w:p>
      <w:pPr/>
      <w:r>
        <w:rPr/>
        <w:t xml:space="preserve">وروي عن أبي ذر: أن إمامه ببخارى قرأ ووقف، وابتدأ من قوله تعالى: </w:t>
      </w:r>
    </w:p>
    <w:p>
      <w:pPr/>
      <w:r>
        <w:rPr>
          <w:color w:val="0000ff"/>
        </w:rPr>
        <w:t xml:space="preserve">{وإياكم أن تؤمنوا بالله ربكم}</w:t>
      </w:r>
    </w:p>
    <w:p>
      <w:pPr/>
      <w:r>
        <w:rPr/>
        <w:t xml:space="preserve"> فعزل إمامه، ولم يأمر بإعادة الصلاة.</w:t>
      </w:r>
    </w:p>
    <w:p/>
    <w:p>
      <w:pPr/>
      <w:r>
        <w:rPr/>
        <w:t xml:space="preserve">ذكره القرشي.</w:t>
      </w:r>
    </w:p>
    <w:p>
      <w:pPr>
        <w:jc w:val="start"/>
        <w:bidi/>
      </w:pPr>
      <w:r>
        <w:rPr>
          <w:sz w:val="24"/>
          <w:szCs w:val="24"/>
          <w:b w:val="1"/>
          <w:bCs w:val="1"/>
          <w:rtl/>
        </w:rPr>
        <w:t xml:space="preserve">
طبقات المفسرين للداوودي،(دار الكتب العلمية - بيروت،0000،ط 0،ج 1،ص 175)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2026-10-23T01:48:06+00:00</dcterms:created>
  <dcterms:modified xsi:type="dcterms:W3CDTF">2026-10-23T01:48:06+00:00</dcterms:modified>
</cp:coreProperties>
</file>

<file path=docProps/custom.xml><?xml version="1.0" encoding="utf-8"?>
<Properties xmlns="http://schemas.openxmlformats.org/officeDocument/2006/custom-properties" xmlns:vt="http://schemas.openxmlformats.org/officeDocument/2006/docPropsVTypes"/>
</file>