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الحنبلي الواعظ القطيعي
</w:t>
      </w:r>
    </w:p>
    <w:p>
      <w:pPr>
        <w:jc w:val="start"/>
        <w:bidi/>
      </w:pPr>
      <w:r>
        <w:rPr>
          <w:rFonts w:ascii="arial" w:hAnsi="arial" w:eastAsia="arial" w:cs="arial"/>
          <w:sz w:val="28"/>
          <w:szCs w:val="28"/>
          <w:b w:val="1"/>
          <w:bCs w:val="1"/>
          <w:rtl/>
        </w:rPr>
        <w:t xml:space="preserve">الحنبلي الواعظ القطيعي
</w:t>
      </w:r>
    </w:p>
    <w:p>
      <w:pPr/>
      <w:r>
        <w:rPr/>
        <w:t xml:space="preserve">الحنبلي الواعظ القطيعي أحمد بن عمر بن الحسين بن خلف القطيعي أبو العباس الفقيه الحنبلي الواعظ البغداذي، قرأ الفقه على أبي يعلى محمد بن الفراء ولازمه حتى برع وتكلم في مسائل الخلاف، وكان حسن المناظرة جريئا في الجدل يعظ الناس على المنبر، سمع بنفسه بعد علو سنه من عبد الخالق بن أحمد بن يوسف والفضل بن سهل الأسفراييني والحافظ ابن ناصر وغيرهم وحدث باليسير، توفي سنة ثلاث وستين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عمر بن الحسين بن خلف القطيعي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242)</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2026-10-23T08:14:29+00:00</dcterms:created>
  <dcterms:modified xsi:type="dcterms:W3CDTF">2026-10-23T08:14:29+00:00</dcterms:modified>
</cp:coreProperties>
</file>

<file path=docProps/custom.xml><?xml version="1.0" encoding="utf-8"?>
<Properties xmlns="http://schemas.openxmlformats.org/officeDocument/2006/custom-properties" xmlns:vt="http://schemas.openxmlformats.org/officeDocument/2006/docPropsVTypes"/>
</file>