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  <w:bidi/>
      </w:pPr>
      <w:r>
        <w:rPr>
          <w:rFonts w:ascii="arial" w:hAnsi="arial" w:eastAsia="arial" w:cs="arial"/>
          <w:sz w:val="32"/>
          <w:szCs w:val="32"/>
          <w:b w:val="1"/>
          <w:bCs w:val="1"/>
          <w:rtl/>
        </w:rPr>
        <w:t xml:space="preserve">الحافظ أبو بكر الطحان
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الحافظ أبو بكر الطحان
</w:t>
      </w:r>
    </w:p>
    <w:p>
      <w:pPr/>
      <w:r>
        <w:rPr/>
        <w:t xml:space="preserve">الحافظ أبو بكر الطحان أحمد بن عمر بن جابر الحافظ أبو بكر الطحان، نزل الرملة وتوفي سنة ثلاث وثلاثين وثلاث مائة.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الوافي بالوفيات،(دار فرانز شتاينر، فيسبادن، ألمانيا / دار إحياء التراث - بيروت،2000،ط 1،ج 7،ص 0)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jc w:val="both"/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rFonts w:ascii="arial" w:hAnsi="arial" w:eastAsia="arial" w:cs="arial"/>
      <w:sz w:val="28"/>
      <w:szCs w:val="2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2026-10-24T02:05:05+00:00</dcterms:created>
  <dcterms:modified xsi:type="dcterms:W3CDTF">2026-10-24T02:05:05+00:00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