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عمر القرطبي الأموي
</w:t>
      </w:r>
    </w:p>
    <w:p>
      <w:pPr>
        <w:jc w:val="start"/>
        <w:bidi/>
      </w:pPr>
      <w:r>
        <w:rPr>
          <w:rFonts w:ascii="arial" w:hAnsi="arial" w:eastAsia="arial" w:cs="arial"/>
          <w:sz w:val="28"/>
          <w:szCs w:val="28"/>
          <w:b w:val="1"/>
          <w:bCs w:val="1"/>
          <w:rtl/>
        </w:rPr>
        <w:t xml:space="preserve">‌‌‌‌‌‌‌‌أبو عمر القرطبي الأموي
</w:t>
      </w:r>
    </w:p>
    <w:p>
      <w:pPr/>
      <w:r>
        <w:rPr/>
        <w:t xml:space="preserve">‌‌‌‌‌‌‌‌أبو عمر القرطبي الأموي أحمد بن محمد بن عفيف أبو عمر الأموي القرطبي؛ استوسع في الرواية والجمع والإتقان، وكان يغسل الموتى وصنف في تغسيلهم كتابا. وصنف كتابا في أدب المعلمين وفي أخبار القضاة والفقهاء بقرطبة؛ توفي سنة عشرين وأربعمائة.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2026-10-23T08:52:30+00:00</dcterms:created>
  <dcterms:modified xsi:type="dcterms:W3CDTF">2026-10-23T08:52:30+00:00</dcterms:modified>
</cp:coreProperties>
</file>

<file path=docProps/custom.xml><?xml version="1.0" encoding="utf-8"?>
<Properties xmlns="http://schemas.openxmlformats.org/officeDocument/2006/custom-properties" xmlns:vt="http://schemas.openxmlformats.org/officeDocument/2006/docPropsVTypes"/>
</file>