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الجيهاني
</w:t>
      </w:r>
    </w:p>
    <w:p>
      <w:pPr>
        <w:jc w:val="start"/>
        <w:bidi/>
      </w:pPr>
      <w:r>
        <w:rPr>
          <w:rFonts w:ascii="arial" w:hAnsi="arial" w:eastAsia="arial" w:cs="arial"/>
          <w:sz w:val="28"/>
          <w:szCs w:val="28"/>
          <w:b w:val="1"/>
          <w:bCs w:val="1"/>
          <w:rtl/>
        </w:rPr>
        <w:t xml:space="preserve">الجيهاني
</w:t>
      </w:r>
    </w:p>
    <w:p>
      <w:pPr/>
      <w:r>
        <w:rPr/>
        <w:t xml:space="preserve">الجيهاني أحمد بن محمد بن نصر الجيهاني أبو عبد الله، وزير نصر بن أحمد الساماني صاحب خراسان؛ كان أديبا فاضلا، ذكره محمد بن إسحاق النديم وقال: له من الكتب: كتاب المسالك والممالك. كتاب الزيادات في كتاب الناشئ من المقالات. وكتاب العهود والحلفاء والأمراء. ولأحمد بن أبي بكر الكاتب يهجوه:</w:t>
      </w:r>
    </w:p>
    <w:p/>
    <w:p>
      <w:pPr>
        <w:jc w:val="center"/>
      </w:pPr>
      <w:r>
        <w:rPr>
          <w:color w:val="ff0000"/>
        </w:rPr>
        <w:t xml:space="preserve">أيا رب: فرعون لما طغى</w:t>
      </w:r>
      <w:r>
        <w:rPr>
          <w:color w:val="ff0000"/>
        </w:rPr>
        <w:t xml:space="preserve">      </w:t>
      </w:r>
      <w:r>
        <w:rPr>
          <w:color w:val="ff0000"/>
        </w:rPr>
        <w:t xml:space="preserve">وتاه وأبطره ما ملك</w:t>
      </w:r>
    </w:p>
    <w:p/>
    <w:p>
      <w:pPr>
        <w:jc w:val="center"/>
      </w:pPr>
      <w:r>
        <w:rPr>
          <w:color w:val="ff0000"/>
        </w:rPr>
        <w:t xml:space="preserve">لطفت وأنت اللطيف الخبير</w:t>
      </w:r>
      <w:r>
        <w:rPr>
          <w:color w:val="ff0000"/>
        </w:rPr>
        <w:t xml:space="preserve">      </w:t>
      </w:r>
      <w:r>
        <w:rPr>
          <w:color w:val="ff0000"/>
        </w:rPr>
        <w:t xml:space="preserve">فأقحمته اليم حتى هلك</w:t>
      </w:r>
    </w:p>
    <w:p/>
    <w:p>
      <w:pPr>
        <w:jc w:val="center"/>
      </w:pPr>
      <w:r>
        <w:rPr>
          <w:color w:val="ff0000"/>
        </w:rPr>
        <w:t xml:space="preserve">فما بال هذا الذي لا أراه</w:t>
      </w:r>
      <w:r>
        <w:rPr>
          <w:color w:val="ff0000"/>
        </w:rPr>
        <w:t xml:space="preserve">      </w:t>
      </w:r>
      <w:r>
        <w:rPr>
          <w:color w:val="ff0000"/>
        </w:rPr>
        <w:t xml:space="preserve">يسلك إلا الذي قد سلك</w:t>
      </w:r>
    </w:p>
    <w:p/>
    <w:p>
      <w:pPr>
        <w:jc w:val="center"/>
      </w:pPr>
      <w:r>
        <w:rPr>
          <w:color w:val="ff0000"/>
        </w:rPr>
        <w:t xml:space="preserve">مصونا على نائبات الدهور</w:t>
      </w:r>
      <w:r>
        <w:rPr>
          <w:color w:val="ff0000"/>
        </w:rPr>
        <w:t xml:space="preserve">      </w:t>
      </w:r>
      <w:r>
        <w:rPr>
          <w:color w:val="ff0000"/>
        </w:rPr>
        <w:t xml:space="preserve">يدور بما يشتهيه الفلك</w:t>
      </w:r>
    </w:p>
    <w:p/>
    <w:p>
      <w:pPr>
        <w:jc w:val="center"/>
      </w:pPr>
      <w:r>
        <w:rPr>
          <w:color w:val="ff0000"/>
        </w:rPr>
        <w:t xml:space="preserve">ألست على أخذه قادرا</w:t>
      </w:r>
      <w:r>
        <w:rPr>
          <w:color w:val="ff0000"/>
        </w:rPr>
        <w:t xml:space="preserve">      </w:t>
      </w:r>
      <w:r>
        <w:rPr>
          <w:color w:val="ff0000"/>
        </w:rPr>
        <w:t xml:space="preserve">فخذه وقد خلص الملك لك</w:t>
      </w:r>
    </w:p>
    <w:p/>
    <w:p>
      <w:pPr>
        <w:jc w:val="center"/>
      </w:pPr>
      <w:r>
        <w:rPr>
          <w:color w:val="ff0000"/>
        </w:rPr>
        <w:t xml:space="preserve">فقد قرب الأمر من أن يقال</w:t>
      </w:r>
      <w:r>
        <w:rPr>
          <w:color w:val="ff0000"/>
        </w:rPr>
        <w:t xml:space="preserve">      </w:t>
      </w:r>
      <w:r>
        <w:rPr>
          <w:color w:val="ff0000"/>
        </w:rPr>
        <w:t xml:space="preserve">ذا الأمر بينهما مشترك</w:t>
      </w:r>
    </w:p>
    <w:p/>
    <w:p>
      <w:pPr>
        <w:jc w:val="center"/>
      </w:pPr>
      <w:r>
        <w:rPr>
          <w:color w:val="ff0000"/>
        </w:rPr>
        <w:t xml:space="preserve">وإلا فلم صار يملى له</w:t>
      </w:r>
      <w:r>
        <w:rPr>
          <w:color w:val="ff0000"/>
        </w:rPr>
        <w:t xml:space="preserve">      </w:t>
      </w:r>
      <w:r>
        <w:rPr>
          <w:color w:val="ff0000"/>
        </w:rPr>
        <w:t xml:space="preserve">وقد لج في غيه وانهمك</w:t>
      </w:r>
    </w:p>
    <w:p/>
    <w:p>
      <w:pPr>
        <w:jc w:val="center"/>
      </w:pPr>
      <w:r>
        <w:rPr>
          <w:color w:val="ff0000"/>
        </w:rPr>
        <w:t xml:space="preserve">ولن يصفو الملك مادام فيه</w:t>
      </w:r>
      <w:r>
        <w:rPr>
          <w:color w:val="ff0000"/>
        </w:rPr>
        <w:t xml:space="preserve">      </w:t>
      </w:r>
      <w:r>
        <w:rPr>
          <w:color w:val="ff0000"/>
        </w:rPr>
        <w:t xml:space="preserve">شريك وإن... شك</w:t>
      </w:r>
    </w:p>
    <w:p/>
    <w:p>
      <w:pPr/>
      <w:r>
        <w:rPr/>
        <w:t xml:space="preserve">وقال فيه آخر:</w:t>
      </w:r>
    </w:p>
    <w:p/>
    <w:p>
      <w:pPr>
        <w:jc w:val="center"/>
      </w:pPr>
      <w:r>
        <w:rPr>
          <w:color w:val="ff0000"/>
        </w:rPr>
        <w:t xml:space="preserve">لا لسان لا رواء</w:t>
      </w:r>
      <w:r>
        <w:rPr>
          <w:color w:val="ff0000"/>
        </w:rPr>
        <w:t xml:space="preserve">      </w:t>
      </w:r>
      <w:r>
        <w:rPr>
          <w:color w:val="ff0000"/>
        </w:rPr>
        <w:t xml:space="preserve">لا بيان لا عباره</w:t>
      </w:r>
    </w:p>
    <w:p/>
    <w:p>
      <w:pPr>
        <w:jc w:val="center"/>
      </w:pPr>
      <w:r>
        <w:rPr>
          <w:color w:val="ff0000"/>
        </w:rPr>
        <w:t xml:space="preserve">لا ولا رد سلام</w:t>
      </w:r>
      <w:r>
        <w:rPr>
          <w:color w:val="ff0000"/>
        </w:rPr>
        <w:t xml:space="preserve">      </w:t>
      </w:r>
      <w:r>
        <w:rPr>
          <w:color w:val="ff0000"/>
        </w:rPr>
        <w:t xml:space="preserve">منك إلا بالإشاره</w:t>
      </w:r>
    </w:p>
    <w:p/>
    <w:p>
      <w:pPr>
        <w:jc w:val="center"/>
      </w:pPr>
      <w:r>
        <w:rPr>
          <w:color w:val="ff0000"/>
        </w:rPr>
        <w:t xml:space="preserve">أنا أهواك ولكن</w:t>
      </w:r>
      <w:r>
        <w:rPr>
          <w:color w:val="ff0000"/>
        </w:rPr>
        <w:t xml:space="preserve">      </w:t>
      </w:r>
      <w:r>
        <w:rPr>
          <w:color w:val="ff0000"/>
        </w:rPr>
        <w:t xml:space="preserve">أين آثار الوزاره</w:t>
      </w:r>
    </w:p>
    <w:p/>
    <w:p>
      <w:pPr/>
      <w:r>
        <w:rPr/>
        <w:t xml:space="preserve">قال: ثم مات السديد منصور بن نوح وقام مقامه الرضي أبو القاسم نوح ابن منصور وهو على وزارته ثم صرفت عنه الوزارة في شهر ربيع الآخر سنة سبع وستين وثلاثمائة ووليها أبو الحسين عبد الله بن أحمد العتبي. </w:t>
      </w:r>
    </w:p>
    <w:p/>
    <w:p>
      <w:pPr/>
      <w:r>
        <w:rPr/>
        <w:t xml:space="preserve">قلت: وقد تقدم في المحمدين محمد بن أحمد بن نصر أبو عبد الله الجيهاني وأظنه هذا والله أعلم بالصواب، ولكن هذا أثبته ياقوت في المحمدين وفي الأحمدين.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نصر الجيهاني أبو عبد الله
</w:t>
      </w:r>
    </w:p>
    <w:p>
      <w:pPr/>
      <w:r>
        <w:rPr/>
        <w:t xml:space="preserve">أحمد بن محمد بن نصر الجيهاني أبو عبد الله  وزير نصر بن أحمد بن نصر الساماني، صاحب خراسان: كان أديبا فاضلا، ذكره محمد بن إسحاق النديم وقال:</w:t>
      </w:r>
    </w:p>
    <w:p/>
    <w:p>
      <w:pPr/>
      <w:r>
        <w:rPr/>
        <w:t xml:space="preserve">له من الكتب: كتاب آيين. كتاب العهود للخلفاء والأمراء. كتاب المسالك والممالك. كتاب الزيادات في كتاب الناشئ من المقالات.</w:t>
      </w:r>
    </w:p>
    <w:p/>
    <w:p>
      <w:pPr/>
      <w:r>
        <w:rPr/>
        <w:t xml:space="preserve">ولأحمد ابن أبي بكر الكاتب يهجو أبا عبد الله الجيهاني:</w:t>
      </w:r>
    </w:p>
    <w:p/>
    <w:p>
      <w:pPr>
        <w:jc w:val="center"/>
      </w:pPr>
      <w:r>
        <w:rPr>
          <w:color w:val="ff0000"/>
        </w:rPr>
        <w:t xml:space="preserve">أيا رب فرعون لما طغى</w:t>
      </w:r>
      <w:r>
        <w:rPr>
          <w:color w:val="ff0000"/>
        </w:rPr>
        <w:t xml:space="preserve">      </w:t>
      </w:r>
      <w:r>
        <w:rPr>
          <w:color w:val="ff0000"/>
        </w:rPr>
        <w:t xml:space="preserve">وتاه وأبطره ما ملك</w:t>
      </w:r>
    </w:p>
    <w:p/>
    <w:p>
      <w:pPr>
        <w:jc w:val="center"/>
      </w:pPr>
      <w:r>
        <w:rPr>
          <w:color w:val="ff0000"/>
        </w:rPr>
        <w:t xml:space="preserve">لطفت وأنت اللطيف الخبير</w:t>
      </w:r>
      <w:r>
        <w:rPr>
          <w:color w:val="ff0000"/>
        </w:rPr>
        <w:t xml:space="preserve">      </w:t>
      </w:r>
      <w:r>
        <w:rPr>
          <w:color w:val="ff0000"/>
        </w:rPr>
        <w:t xml:space="preserve">فأقحمته اليم حتى هلك</w:t>
      </w:r>
    </w:p>
    <w:p/>
    <w:p>
      <w:pPr>
        <w:jc w:val="center"/>
      </w:pPr>
      <w:r>
        <w:rPr>
          <w:color w:val="ff0000"/>
        </w:rPr>
        <w:t xml:space="preserve">فما بال هذا الذي لا أراه</w:t>
      </w:r>
      <w:r>
        <w:rPr>
          <w:color w:val="ff0000"/>
        </w:rPr>
        <w:t xml:space="preserve">      </w:t>
      </w:r>
      <w:r>
        <w:rPr>
          <w:color w:val="ff0000"/>
        </w:rPr>
        <w:t xml:space="preserve">يسلك إلا الذي قد سلك</w:t>
      </w:r>
    </w:p>
    <w:p/>
    <w:p>
      <w:pPr>
        <w:jc w:val="center"/>
      </w:pPr>
      <w:r>
        <w:rPr>
          <w:color w:val="ff0000"/>
        </w:rPr>
        <w:t xml:space="preserve">مصونا على نائبات الدهور</w:t>
      </w:r>
      <w:r>
        <w:rPr>
          <w:color w:val="ff0000"/>
        </w:rPr>
        <w:t xml:space="preserve">      </w:t>
      </w:r>
      <w:r>
        <w:rPr>
          <w:color w:val="ff0000"/>
        </w:rPr>
        <w:t xml:space="preserve">يدور بما يشتهيه الفلك</w:t>
      </w:r>
    </w:p>
    <w:p/>
    <w:p>
      <w:pPr>
        <w:jc w:val="center"/>
      </w:pPr>
      <w:r>
        <w:rPr>
          <w:color w:val="ff0000"/>
        </w:rPr>
        <w:t xml:space="preserve">ألست على أخذه قادرا</w:t>
      </w:r>
      <w:r>
        <w:rPr>
          <w:color w:val="ff0000"/>
        </w:rPr>
        <w:t xml:space="preserve">      </w:t>
      </w:r>
      <w:r>
        <w:rPr>
          <w:color w:val="ff0000"/>
        </w:rPr>
        <w:t xml:space="preserve">فخذه وقد خلص الملك لك</w:t>
      </w:r>
    </w:p>
    <w:p/>
    <w:p>
      <w:pPr>
        <w:jc w:val="center"/>
      </w:pPr>
      <w:r>
        <w:rPr>
          <w:color w:val="ff0000"/>
        </w:rPr>
        <w:t xml:space="preserve">فقد قرب الأمر من أن يقال</w:t>
      </w:r>
      <w:r>
        <w:rPr>
          <w:color w:val="ff0000"/>
        </w:rPr>
        <w:t xml:space="preserve">      </w:t>
      </w:r>
      <w:r>
        <w:rPr>
          <w:color w:val="ff0000"/>
        </w:rPr>
        <w:t xml:space="preserve">ذا الأمر بينهما مشترك</w:t>
      </w:r>
    </w:p>
    <w:p/>
    <w:p>
      <w:pPr>
        <w:jc w:val="center"/>
      </w:pPr>
      <w:r>
        <w:rPr>
          <w:color w:val="ff0000"/>
        </w:rPr>
        <w:t xml:space="preserve">والا فلم صار يملى له</w:t>
      </w:r>
      <w:r>
        <w:rPr>
          <w:color w:val="ff0000"/>
        </w:rPr>
        <w:t xml:space="preserve">      </w:t>
      </w:r>
      <w:r>
        <w:rPr>
          <w:color w:val="ff0000"/>
        </w:rPr>
        <w:t xml:space="preserve">وقد لج في غيه وانهمك</w:t>
      </w:r>
    </w:p>
    <w:p/>
    <w:p>
      <w:pPr>
        <w:jc w:val="center"/>
      </w:pPr>
      <w:r>
        <w:rPr>
          <w:color w:val="ff0000"/>
        </w:rPr>
        <w:t xml:space="preserve">ولن يصفو الملك ما دام فيه</w:t>
      </w:r>
      <w:r>
        <w:rPr>
          <w:color w:val="ff0000"/>
        </w:rPr>
        <w:t xml:space="preserve">      </w:t>
      </w:r>
      <w:r>
        <w:rPr>
          <w:color w:val="ff0000"/>
        </w:rPr>
        <w:t xml:space="preserve">شريك وإن شك ....</w:t>
      </w:r>
    </w:p>
    <w:p/>
    <w:p>
      <w:pPr/>
      <w:r>
        <w:rPr/>
        <w:t xml:space="preserve">ذكر هذه الأبيات أبو الحسن محمد بن سليمان بن محمد في «كتاب مزيد التاريخ في أخبار خراسان» .</w:t>
      </w:r>
    </w:p>
    <w:p/>
    <w:p>
      <w:pPr/>
      <w:r>
        <w:rPr/>
        <w:t xml:space="preserve">وقال فيه بعضهم يهجوه قال، وأظنه اللحام:</w:t>
      </w:r>
    </w:p>
    <w:p/>
    <w:p>
      <w:pPr>
        <w:jc w:val="center"/>
      </w:pPr>
      <w:r>
        <w:rPr>
          <w:color w:val="ff0000"/>
        </w:rPr>
        <w:t xml:space="preserve">لا لسان لا رواء</w:t>
      </w:r>
      <w:r>
        <w:rPr>
          <w:color w:val="ff0000"/>
        </w:rPr>
        <w:t xml:space="preserve">      </w:t>
      </w:r>
      <w:r>
        <w:rPr>
          <w:color w:val="ff0000"/>
        </w:rPr>
        <w:t xml:space="preserve">لا بيان لا عباره</w:t>
      </w:r>
    </w:p>
    <w:p/>
    <w:p>
      <w:pPr>
        <w:jc w:val="center"/>
      </w:pPr>
      <w:r>
        <w:rPr>
          <w:color w:val="ff0000"/>
        </w:rPr>
        <w:t xml:space="preserve">لا ولا رد سلام</w:t>
      </w:r>
      <w:r>
        <w:rPr>
          <w:color w:val="ff0000"/>
        </w:rPr>
        <w:t xml:space="preserve">      </w:t>
      </w:r>
      <w:r>
        <w:rPr>
          <w:color w:val="ff0000"/>
        </w:rPr>
        <w:t xml:space="preserve">منك إلا بالاشاره</w:t>
      </w:r>
    </w:p>
    <w:p/>
    <w:p>
      <w:pPr>
        <w:jc w:val="center"/>
      </w:pPr>
      <w:r>
        <w:rPr>
          <w:color w:val="ff0000"/>
        </w:rPr>
        <w:t xml:space="preserve">أنا أهواك ولكن</w:t>
      </w:r>
      <w:r>
        <w:rPr>
          <w:color w:val="ff0000"/>
        </w:rPr>
        <w:t xml:space="preserve">      </w:t>
      </w:r>
      <w:r>
        <w:rPr>
          <w:color w:val="ff0000"/>
        </w:rPr>
        <w:t xml:space="preserve">أين آثار الوزاره</w:t>
      </w:r>
    </w:p>
    <w:p/>
    <w:p>
      <w:pPr/>
      <w:r>
        <w:rPr/>
        <w:t xml:space="preserve">قال: ثم مات السديد منصور بن نوح، وقام مقامه الرضى أبو القاسم نوح بن منصور، والجيهاني على وزارته، ثم صرفت عنه الوزارة في شهر ربيع الأخر سنة سبع وستين وثلاثمائة، ووليها أبو الحسين عبد الله بن أحمد العتبي.</w:t>
      </w:r>
    </w:p>
    <w:p>
      <w:pPr>
        <w:jc w:val="start"/>
        <w:bidi/>
      </w:pPr>
      <w:r>
        <w:rPr>
          <w:sz w:val="24"/>
          <w:szCs w:val="24"/>
          <w:b w:val="1"/>
          <w:bCs w:val="1"/>
          <w:rtl/>
        </w:rPr>
        <w:t xml:space="preserve">
معجم الأدباء / إرشاد الأريب إلى معرفة الأديب،(دار الغرب الإسلامي - بيروت،1993،ط 0،ج 1،ص 455)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2026-10-23T20:59:14+00:00</dcterms:created>
  <dcterms:modified xsi:type="dcterms:W3CDTF">2026-10-23T20:59:14+00:00</dcterms:modified>
</cp:coreProperties>
</file>

<file path=docProps/custom.xml><?xml version="1.0" encoding="utf-8"?>
<Properties xmlns="http://schemas.openxmlformats.org/officeDocument/2006/custom-properties" xmlns:vt="http://schemas.openxmlformats.org/officeDocument/2006/docPropsVTypes"/>
</file>