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تقي الدين ابن مزيز
</w:t>
      </w:r>
    </w:p>
    <w:p>
      <w:pPr>
        <w:jc w:val="start"/>
        <w:bidi/>
      </w:pPr>
      <w:r>
        <w:rPr>
          <w:rFonts w:ascii="arial" w:hAnsi="arial" w:eastAsia="arial" w:cs="arial"/>
          <w:sz w:val="28"/>
          <w:szCs w:val="28"/>
          <w:b w:val="1"/>
          <w:bCs w:val="1"/>
          <w:rtl/>
        </w:rPr>
        <w:t xml:space="preserve">تقي الدين ابن مزيز
</w:t>
      </w:r>
    </w:p>
    <w:p>
      <w:pPr/>
      <w:r>
        <w:rPr/>
        <w:t xml:space="preserve">تقي الدين ابن مزيز إدريس بن محمد ابن أبي الفرج بن الحسين بن مزيز-بزايين-الشيخ الإمام المحدث تقي الدين أبو محمد الحموي. سمع من أبي القاسم بن رواحة وأخيه النفيس وصفية القرشية والموفق يعيش النحوي ومدرك بن حبيش والقاضي أبي إسحاق ابراهيم بن عبد الله بن عبد المنعم وهذه الطبقة؛ وكتب الأجزاء وعني بالحديث وتميز فيه. روى عنه الدمياطي والمزي والبرزالي. ذكره ابن الصابوني جمال الدين في كتاب تكملة إكمال الإكمال في مزيز ومرير وصنف الأحكام كبيرا.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2026-10-23T09:00:25+00:00</dcterms:created>
  <dcterms:modified xsi:type="dcterms:W3CDTF">2026-10-23T09:00:25+00:00</dcterms:modified>
</cp:coreProperties>
</file>

<file path=docProps/custom.xml><?xml version="1.0" encoding="utf-8"?>
<Properties xmlns="http://schemas.openxmlformats.org/officeDocument/2006/custom-properties" xmlns:vt="http://schemas.openxmlformats.org/officeDocument/2006/docPropsVTypes"/>
</file>