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محيي الدين ابن جهبل
</w:t>
      </w:r>
    </w:p>
    <w:p>
      <w:pPr>
        <w:jc w:val="start"/>
        <w:bidi/>
      </w:pPr>
      <w:r>
        <w:rPr>
          <w:rFonts w:ascii="arial" w:hAnsi="arial" w:eastAsia="arial" w:cs="arial"/>
          <w:sz w:val="28"/>
          <w:szCs w:val="28"/>
          <w:b w:val="1"/>
          <w:bCs w:val="1"/>
          <w:rtl/>
        </w:rPr>
        <w:t xml:space="preserve">محيي الدين ابن جهبل
</w:t>
      </w:r>
    </w:p>
    <w:p>
      <w:pPr/>
      <w:r>
        <w:rPr/>
        <w:t xml:space="preserve">محيي الدين ابن جهبل إسماعيل بن يحيى بن إسماعيل بن جهبل القاضي محيي الدين الحلبي ثم الدمشقي الشافعي، مولده ست وستين وستمائة، وربي هو وأخوه الإمام الشهاب الدين يتيمين فقيرين فتفقها وتميزا، سمع من القاضي شمس الدين ابن عطاء وجمال الدين ابن الصيرفي وجماعة خرج له عنهم علم الدين البرزالي، وتفقه بابن المقدسي وبابن الوكيل، ودرس وأفتى وحصل دنيا واقتنى أملاكا، وناب في القضاء بدمشق وولي تدريس الأتابكية، وندب لقضاء طرابلس فباشر ولم يحمد، سمع منه البرزالي وابن سعد والذهلي والشيخ شمس الدين، وكان مليح الشكل والبزة نقي الشيبة جيد المعرفة بالأحكام والمكاتيب. توفي سنة أربعين وسبعمائة.</w:t>
      </w:r>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2026-10-24T05:58:25+00:00</dcterms:created>
  <dcterms:modified xsi:type="dcterms:W3CDTF">2026-10-24T05:58:25+00:00</dcterms:modified>
</cp:coreProperties>
</file>

<file path=docProps/custom.xml><?xml version="1.0" encoding="utf-8"?>
<Properties xmlns="http://schemas.openxmlformats.org/officeDocument/2006/custom-properties" xmlns:vt="http://schemas.openxmlformats.org/officeDocument/2006/docPropsVTypes"/>
</file>