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الأشقر المقرئ
</w:t>
      </w:r>
    </w:p>
    <w:p>
      <w:pPr>
        <w:jc w:val="start"/>
        <w:bidi/>
      </w:pPr>
      <w:r>
        <w:rPr>
          <w:rFonts w:ascii="arial" w:hAnsi="arial" w:eastAsia="arial" w:cs="arial"/>
          <w:sz w:val="28"/>
          <w:szCs w:val="28"/>
          <w:b w:val="1"/>
          <w:bCs w:val="1"/>
          <w:rtl/>
        </w:rPr>
        <w:t xml:space="preserve">الأشقر المقرئ
</w:t>
      </w:r>
    </w:p>
    <w:p>
      <w:pPr/>
      <w:r>
        <w:rPr/>
        <w:t xml:space="preserve">الأشقر المقرئ هبة الله بن الحسن.</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الأشقر المقرئ
</w:t>
      </w:r>
    </w:p>
    <w:p>
      <w:pPr/>
      <w:r>
        <w:rPr/>
        <w:t xml:space="preserve">الأشقر المقرئ هبة الله بن الحسن بن أحمد بن أبي المعالي أبو القاسم الخياط المقرئ المعروف بالأشقر، من ساكني دار الخلافة ببغداد من القراء المشهرين بالإجادة وحسن الأداء ومعرفة وجوه القراءات بالروايات، ويفهم طرفا حسنا من النحو، قرأ بالروايات على محمد بن خالد الرزاز الضرير وعلى عبد الله بن عبد الله الجوهري وعرفة بن علي البقلي، والنحو على الأسعد بن نصر العبرني، وسمع من مسعود بن علي بن النادر وعمر بن أبي بكر بن التبان وغيرهما وقرأ عليه جماعة، وكان يصلي إماما بالإمام الظاهر وتجهر على مذهب الشافعي، وتوفي سنة أربع وثلاثين وستمائة.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2026-10-22T21:51:22+00:00</dcterms:created>
  <dcterms:modified xsi:type="dcterms:W3CDTF">2026-10-22T21:51:22+00:00</dcterms:modified>
</cp:coreProperties>
</file>

<file path=docProps/custom.xml><?xml version="1.0" encoding="utf-8"?>
<Properties xmlns="http://schemas.openxmlformats.org/officeDocument/2006/custom-properties" xmlns:vt="http://schemas.openxmlformats.org/officeDocument/2006/docPropsVTypes"/>
</file>