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النقاش
</w:t>
      </w:r>
    </w:p>
    <w:p>
      <w:pPr>
        <w:jc w:val="start"/>
        <w:bidi/>
      </w:pPr>
      <w:r>
        <w:rPr>
          <w:rFonts w:ascii="arial" w:hAnsi="arial" w:eastAsia="arial" w:cs="arial"/>
          <w:sz w:val="28"/>
          <w:szCs w:val="28"/>
          <w:b w:val="1"/>
          <w:bCs w:val="1"/>
          <w:rtl/>
        </w:rPr>
        <w:t xml:space="preserve">النقاش
</w:t>
      </w:r>
    </w:p>
    <w:p>
      <w:pPr/>
      <w:r>
        <w:rPr/>
        <w:t xml:space="preserve">النقاش بدر بن أبي الرضا بن إسماعيل، أبو محمد النقاش؛ كان ينقش الخشب وكان كثير المجاورة بمكة ينقش فيها الخشب لسقف المسجد الحرام، فسمع هناك من أبي محمد المبارك بن علي بن الحسين بن الطباح البغدادي إمام الحنابلة بالمسجد الحرام. قال محب الدين ابن النجار: كان شيخا حسنا لا بأس به، وسمعت منه، وسألته عن مولده فقال: سابع عشر ربيع الآخر من سنة أربع وأربعين وخمس مائة. </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النقاش
</w:t>
      </w:r>
    </w:p>
    <w:p>
      <w:pPr/>
      <w:r>
        <w:rPr/>
        <w:t xml:space="preserve">النقاش  بدر بن أبي الرضا.</w:t>
      </w:r>
    </w:p>
    <w:p>
      <w:pPr>
        <w:jc w:val="start"/>
        <w:bidi/>
      </w:pPr>
      <w:r>
        <w:rPr>
          <w:sz w:val="24"/>
          <w:szCs w:val="24"/>
          <w:b w:val="1"/>
          <w:bCs w:val="1"/>
          <w:rtl/>
        </w:rPr>
        <w:t xml:space="preserve">
الوافي بالوفيات،(دار فرانز شتاينر، فيسبادن، ألمانيا / دار إحياء التراث - بيروت،2000،ط 1،ج 27،ص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2026-10-23T00:57:41+00:00</dcterms:created>
  <dcterms:modified xsi:type="dcterms:W3CDTF">2026-10-23T00:57:41+00:00</dcterms:modified>
</cp:coreProperties>
</file>

<file path=docProps/custom.xml><?xml version="1.0" encoding="utf-8"?>
<Properties xmlns="http://schemas.openxmlformats.org/officeDocument/2006/custom-properties" xmlns:vt="http://schemas.openxmlformats.org/officeDocument/2006/docPropsVTypes"/>
</file>