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الكلوتاتي
</w:t>
      </w:r>
    </w:p>
    <w:p>
      <w:pPr>
        <w:jc w:val="start"/>
        <w:bidi/>
      </w:pPr>
      <w:r>
        <w:rPr>
          <w:rFonts w:ascii="arial" w:hAnsi="arial" w:eastAsia="arial" w:cs="arial"/>
          <w:sz w:val="28"/>
          <w:szCs w:val="28"/>
          <w:b w:val="1"/>
          <w:bCs w:val="1"/>
          <w:rtl/>
        </w:rPr>
        <w:t xml:space="preserve">الكلوتاتي
</w:t>
      </w:r>
    </w:p>
    <w:p>
      <w:pPr/>
      <w:r>
        <w:rPr/>
        <w:t xml:space="preserve">الكلوتاتي أبو بكر بن علي بن محمد الكلوتاتي؛ سمع من ابن النحاس والنجيب. أجاز لي بخطه سنة ثمان وعشرين وسبع مائة بمصر.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بن علي بن محمد الكلوتاتي
</w:t>
      </w:r>
    </w:p>
    <w:p>
      <w:pPr/>
      <w:r>
        <w:rPr/>
        <w:t xml:space="preserve">أبو بكر بن علي بن محمد الكلوتاتي سمع من ابن النحاس والنجيب، وأجاز لي بمصر بخطه سنة ثمان وعشرين وسبع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2،ص 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بن علي بن محمد بن حسام
</w:t>
      </w:r>
    </w:p>
    <w:p>
      <w:pPr/>
      <w:r>
        <w:rPr/>
        <w:t xml:space="preserve">أبو بكر بن علي بن محمد بن حسام أبو بكر بن علي بن محمد بن حسام الكلوتاتي ويعرف أبوه بالعز سمع من النجيب والغرافي وأبي البركات بن النحاس وابن خطيب المزة والجمال اليغموري وغيرهم وأجاز لشيخنا أبي الفرج بن الغزى وغيره مات في ربيع الأول سنة 737 أرخه النور الهمذاني في جمادى الآخرة من السنة وذكره أبو جعفر في معجم العز ابن جماعة</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2026-10-23T02:57:44+00:00</dcterms:created>
  <dcterms:modified xsi:type="dcterms:W3CDTF">2026-10-23T02:57:44+00:00</dcterms:modified>
</cp:coreProperties>
</file>

<file path=docProps/custom.xml><?xml version="1.0" encoding="utf-8"?>
<Properties xmlns="http://schemas.openxmlformats.org/officeDocument/2006/custom-properties" xmlns:vt="http://schemas.openxmlformats.org/officeDocument/2006/docPropsVTypes"/>
</file>