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بيمند صاحب طرابلس الفرنجي
</w:t>
      </w:r>
    </w:p>
    <w:p>
      <w:pPr>
        <w:jc w:val="start"/>
        <w:bidi/>
      </w:pPr>
      <w:r>
        <w:rPr>
          <w:rFonts w:ascii="arial" w:hAnsi="arial" w:eastAsia="arial" w:cs="arial"/>
          <w:sz w:val="28"/>
          <w:szCs w:val="28"/>
          <w:b w:val="1"/>
          <w:bCs w:val="1"/>
          <w:rtl/>
        </w:rPr>
        <w:t xml:space="preserve">بيمند صاحب طرابلس الفرنجي
</w:t>
      </w:r>
    </w:p>
    <w:p>
      <w:pPr/>
      <w:r>
        <w:rPr/>
        <w:t xml:space="preserve">بيمند صاحب طرابلس الفرنجي بيمند بن بيمند متملك طرابلس؛ كان حسن الشكل مليح الصورة. قال الشيخ قطب الدين اليونيني: رأيته وقد حضر إلى بعلبك إلى خدمة كتبغا نوين وصعد إلى قلعة بعلبك ودارها وحدثته نفسه أن يطلبها من هولاكو ويبذل له ما يرضيه، وشاع ذلك ببعلبك، فشق على أهلها وعظم لديهم فحصل بحمد الله ومنته كسرة التتار في آخر شهر، ما آمنهم من ذلك. ولما ملك الملك المنصور قلاوون طرابلس في سنة ثمان وثمانين وست مائة نبش الناس عظام بيمند المذكور من الكنيسة وألقوها في الطرقات. وكانت وفاة بيمند المذكور بطرابلس سنة ثلاث وسبعين وست مائة، وملكها من بعده ابنه بعدما دفن في الكنيسة.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2026-10-23T00:11:50+00:00</dcterms:created>
  <dcterms:modified xsi:type="dcterms:W3CDTF">2026-10-23T00:11:50+00:00</dcterms:modified>
</cp:coreProperties>
</file>

<file path=docProps/custom.xml><?xml version="1.0" encoding="utf-8"?>
<Properties xmlns="http://schemas.openxmlformats.org/officeDocument/2006/custom-properties" xmlns:vt="http://schemas.openxmlformats.org/officeDocument/2006/docPropsVTypes"/>
</file>