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جعفر بن أحمد بن عمار، وزير المهتدي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وزير المهتدي
</w:t>
      </w:r>
    </w:p>
    <w:p>
      <w:pPr/>
      <w:r>
        <w:rPr/>
        <w:t xml:space="preserve">وزير المهتدي جعفر بن أحمد بن عمار، أبو صالح الكاتب.</w:t>
      </w:r>
    </w:p>
    <w:p/>
    <w:p>
      <w:pPr/>
      <w:r>
        <w:rPr/>
        <w:t xml:space="preserve">ولي أبو صالح هذا الوزارة للمهتدي بالله محمد بن هارون الواثق خلع عليه فبقي مديدة ولم يمش له أمر لضعفه وخوفه وقلة استقلاله بالأمر فلما تبين المهتدي ذلك منه عزله.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2026-10-24T00:57:04+00:00</dcterms:created>
  <dcterms:modified xsi:type="dcterms:W3CDTF">2026-10-24T00:57:04+00:00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