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مجد الدين حرمي
</w:t>
      </w:r>
    </w:p>
    <w:p>
      <w:pPr>
        <w:jc w:val="start"/>
        <w:bidi/>
      </w:pPr>
      <w:r>
        <w:rPr>
          <w:rFonts w:ascii="arial" w:hAnsi="arial" w:eastAsia="arial" w:cs="arial"/>
          <w:sz w:val="28"/>
          <w:szCs w:val="28"/>
          <w:b w:val="1"/>
          <w:bCs w:val="1"/>
          <w:rtl/>
        </w:rPr>
        <w:t xml:space="preserve">مجد الدين حرمي
</w:t>
      </w:r>
    </w:p>
    <w:p>
      <w:pPr/>
      <w:r>
        <w:rPr/>
        <w:t xml:space="preserve">مجد الدين حرمي حرمي بن قاسم بن يوسف الفاقوسي، القاضي مجد الدين المصري، وكيل بيت المال ونائب القاضي بدر الدين ابن جماعة ونائب القاضي جلال الدين القزويني بالقاهرة، مولده تقريبا سنة تسع وأربعين وستمئة وتوفي سنة أربع وثلاثين وسبعمئة. كان ساكنا خيرا قل أن يموت أحد من الأمراء الكبار إلا وأسند وصيته إليه فكان الناس يقولون هو آدم أبو البشر وكان شيخا طوالا رقيقا صغير الذقن. أخبرني العلامة قاضي القضاة تقي الدين أبو الحسن السبكي الشافعي من لفظه قال: قرأ القاضي مجد الدين حرمي على الشيخ علاء الدين الباجي الأصولي، وقرأ على السيف البغدادي في الموجز والإرشاد. وسمع من قاضي القضاة عبد الرحمن ابن بنت الأعز قصيدة من نظمه وحدث بها: وكان يدرس بقبة الشافعي رحمه الله. قال: وحفظ الحاوي الصغير على كبر. وحكى لي عن مروءته في السعي مع الناس لقضاء أشغالهم أمرا عجيبا. وعن الشفاعات وكان وكيل بيت الظاهر بيبرس ومملوكه أيبك الخزندار وبكتمر الجوكندار الكبير.</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2026-10-24T02:05:05+00:00</dcterms:created>
  <dcterms:modified xsi:type="dcterms:W3CDTF">2026-10-24T02:05:05+00:00</dcterms:modified>
</cp:coreProperties>
</file>

<file path=docProps/custom.xml><?xml version="1.0" encoding="utf-8"?>
<Properties xmlns="http://schemas.openxmlformats.org/officeDocument/2006/custom-properties" xmlns:vt="http://schemas.openxmlformats.org/officeDocument/2006/docPropsVTypes"/>
</file>