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تمام النقيب
</w:t>
      </w:r>
    </w:p>
    <w:p>
      <w:pPr>
        <w:jc w:val="start"/>
        <w:bidi/>
      </w:pPr>
      <w:r>
        <w:rPr>
          <w:rFonts w:ascii="arial" w:hAnsi="arial" w:eastAsia="arial" w:cs="arial"/>
          <w:sz w:val="28"/>
          <w:szCs w:val="28"/>
          <w:b w:val="1"/>
          <w:bCs w:val="1"/>
          <w:rtl/>
        </w:rPr>
        <w:t xml:space="preserve">أبو تمام النقيب
</w:t>
      </w:r>
    </w:p>
    <w:p>
      <w:pPr/>
      <w:r>
        <w:rPr/>
        <w:t xml:space="preserve">أبو تمام النقيب الحسن بن محمد بن عبد الوهاب بن سليمان بن محمد بن سليمان بن عبد الله بن محمد بن إبراهيم، الإمام بن محمد بن علي بن عبد الله بن العباس بن عبد المطلب، أبو تمام الزينبي الهاشمي.</w:t>
      </w:r>
    </w:p>
    <w:p/>
    <w:p>
      <w:pPr/>
      <w:r>
        <w:rPr/>
        <w:t xml:space="preserve">كان يتولى نقابة البصرة والقضاء بها، قدم بغداد مع معز الدولة أحمد بن بويه، واشترى الدار الشاطية بباب خراسان بأربعة وعشرين ألف دينار، فقال الناس: ’’قد خاس العقار ولم يتق له حرمة’’.</w:t>
      </w:r>
    </w:p>
    <w:p/>
    <w:p>
      <w:pPr/>
      <w:r>
        <w:rPr/>
        <w:t xml:space="preserve">وقلد النقابة على الهاشميين ببغداد، وبقي فيها تسعا وعشرين سنة، ثم صرف منها، وأعيدت إلى عبد الواحد بن الفضل بن عبد الملك، ثم أعيد إليها.</w:t>
      </w:r>
    </w:p>
    <w:p/>
    <w:p>
      <w:pPr/>
      <w:r>
        <w:rPr/>
        <w:t xml:space="preserve">وقرأ الفقه على مذهب أبي حنيفة على الحسن الكرخي. وروى عن المفجع البصري شيئا من شعره، وتوفي سنة اثنتين وسبعين وثلاثمائة.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2026-10-22T22:54:27+00:00</dcterms:created>
  <dcterms:modified xsi:type="dcterms:W3CDTF">2026-10-22T22:54:27+00:00</dcterms:modified>
</cp:coreProperties>
</file>

<file path=docProps/custom.xml><?xml version="1.0" encoding="utf-8"?>
<Properties xmlns="http://schemas.openxmlformats.org/officeDocument/2006/custom-properties" xmlns:vt="http://schemas.openxmlformats.org/officeDocument/2006/docPropsVTypes"/>
</file>