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جلال الدين صاحب الألموت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جلال الدين صاحب الألموت
</w:t>
      </w:r>
    </w:p>
    <w:p>
      <w:pPr/>
      <w:r>
        <w:rPr/>
        <w:t xml:space="preserve">جلال الدين صاحب الألموت حسن، الرئيس المطاع، جلال الدين، حفيد الحسن بن الصباح، صاحب الألموت، وملك الإسماعيلية.</w:t>
      </w:r>
    </w:p>
    <w:p/>
    <w:p>
      <w:pPr/>
      <w:r>
        <w:rPr/>
        <w:t xml:space="preserve">كان قد أظهر شعار الإسلام من الأذان والصلاة. وتوفي سنة ثمان عشرة وستمائة. وولي بعده ولده الأكبر: علاء الدين محمد بن حسن، فامتدت أيامه إلى أن حاصرهم هولاكو. وسيأتي في ترجمة سنان صاحب حصن الكهف حديث الإسماعيلية ودعوتهم النزارية.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12،ص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2026-10-23T14:57:41+00:00</dcterms:created>
  <dcterms:modified xsi:type="dcterms:W3CDTF">2026-10-23T14:57:41+00:00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