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صروف الحنبلي
</w:t>
      </w:r>
    </w:p>
    <w:p>
      <w:pPr>
        <w:jc w:val="start"/>
        <w:bidi/>
      </w:pPr>
      <w:r>
        <w:rPr>
          <w:rFonts w:ascii="arial" w:hAnsi="arial" w:eastAsia="arial" w:cs="arial"/>
          <w:sz w:val="28"/>
          <w:szCs w:val="28"/>
          <w:b w:val="1"/>
          <w:bCs w:val="1"/>
          <w:rtl/>
        </w:rPr>
        <w:t xml:space="preserve">ابن صروف الحنبلي
</w:t>
      </w:r>
    </w:p>
    <w:p>
      <w:pPr/>
      <w:r>
        <w:rPr/>
        <w:t xml:space="preserve">ابن صروف الحنبلي حمد بن أحمد بن محمد بن بركة بن أحمد بن صديق بن صروف - بتشديد الراء بعد الصاد المهملة، كذا وجدته- الفقيه موفق الدين الحنبلي الحراني. رحل إلى بغداد، وتفقه على ناصح الإسلام أبي الفتح محمد بن المني وأبي الفرج ابن الجوزي. وسمع من عبد الحق اليوسفي وعيسى الدوشابي وتجني الوهبانية، وأبي الفتح بن شاتيل، وعبد المغيث بن زهير وغيرهم. وسمع بحران من أحمد بن أبي الوفاء الصايغ، وعبد الوهاب بن أبي حبة. وأعاد بمدرسة حران مدة، وحدث بها وبدمشق. وكان ثقة فقيها صحيح السماع. وروى عنه الزكي المنذري، والشرف بن النابلسي، والمجد بن الحلوانية والشهاب الأبرقوهي، والبدر أبو علي بن الحلال وآخرون. وتوفي بدمشق ودفن بقاسيون سنة أربع وثلاثين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صروف الحنبلي
</w:t>
      </w:r>
    </w:p>
    <w:p>
      <w:pPr/>
      <w:r>
        <w:rPr/>
        <w:t xml:space="preserve">ابن صروف الحنبلي حمد بن أحمد.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2026-10-23T14:03:19+00:00</dcterms:created>
  <dcterms:modified xsi:type="dcterms:W3CDTF">2026-10-23T14:03:19+00:00</dcterms:modified>
</cp:coreProperties>
</file>

<file path=docProps/custom.xml><?xml version="1.0" encoding="utf-8"?>
<Properties xmlns="http://schemas.openxmlformats.org/officeDocument/2006/custom-properties" xmlns:vt="http://schemas.openxmlformats.org/officeDocument/2006/docPropsVTypes"/>
</file>