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  <w:bidi/>
      </w:pPr>
      <w:r>
        <w:rPr>
          <w:rFonts w:ascii="arial" w:hAnsi="arial" w:eastAsia="arial" w:cs="arial"/>
          <w:sz w:val="32"/>
          <w:szCs w:val="32"/>
          <w:b w:val="1"/>
          <w:bCs w:val="1"/>
          <w:rtl/>
        </w:rPr>
        <w:t xml:space="preserve">المصري
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المصري
</w:t>
      </w:r>
    </w:p>
    <w:p>
      <w:pPr/>
      <w:r>
        <w:rPr/>
        <w:t xml:space="preserve">المصري الخصيب بن عبد الله بن محمد بن الحسين بن الخصيب، أبو الحسن بن أبي بكر المصري. ثقة، توفي سنة ست عشرة وأربع مائة.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الوافي بالوفيات،(دار فرانز شتاينر، فيسبادن، ألمانيا / دار إحياء التراث - بيروت،2000،ط 1،ج 13،ص 0)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jc w:val="both"/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rFonts w:ascii="arial" w:hAnsi="arial" w:eastAsia="arial" w:cs="arial"/>
      <w:sz w:val="28"/>
      <w:szCs w:val="2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2026-10-24T10:07:08+00:00</dcterms:created>
  <dcterms:modified xsi:type="dcterms:W3CDTF">2026-10-24T10:07:08+00:00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