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الخطيبي
</w:t>
      </w:r>
    </w:p>
    <w:p>
      <w:pPr>
        <w:jc w:val="start"/>
        <w:bidi/>
      </w:pPr>
      <w:r>
        <w:rPr>
          <w:rFonts w:ascii="arial" w:hAnsi="arial" w:eastAsia="arial" w:cs="arial"/>
          <w:sz w:val="28"/>
          <w:szCs w:val="28"/>
          <w:b w:val="1"/>
          <w:bCs w:val="1"/>
          <w:rtl/>
        </w:rPr>
        <w:t xml:space="preserve">الخطيبي
</w:t>
      </w:r>
    </w:p>
    <w:p>
      <w:pPr/>
      <w:r>
        <w:rPr/>
        <w:t xml:space="preserve">الخطيبي عمر بن أحمد.</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الخطيبي الواعظ الشافعي
</w:t>
      </w:r>
    </w:p>
    <w:p>
      <w:pPr/>
      <w:r>
        <w:rPr/>
        <w:t xml:space="preserve">الخطيبي الواعظ الشافعي عمر بن أحمد بن عمر بن روشن بن علي، أبو حفص الخطيبي الزنجاني الواعظ. كان من أئمة الفقهاء الشافعية. قرأ على القاضي أبي بكر محمد بن إسحاق بن عثمان بن عزير الزوزني صاحب الشيخ أبي إسحاق، وعلى أبي عبد الله الحسين بن هبة الله بن أحمد الفلاكي. قدم بغداذ، وحدث بها بكتاب الأسماء والصفات للبيهقي عن حافده عبيد الله بن محمد عن جده. وكان مناظرا محققا فاضلا في الخلاف والأصول، فصيح اللسان، مليح المناظرة، وعظ بالنظامية مرارا، وكان قدومه إلى بغداذ سنة إحدى وستين وخمس مائة.</w:t>
      </w:r>
    </w:p>
    <w:p>
      <w:pPr>
        <w:jc w:val="start"/>
        <w:bidi/>
      </w:pPr>
      <w:r>
        <w:rPr>
          <w:sz w:val="24"/>
          <w:szCs w:val="24"/>
          <w:b w:val="1"/>
          <w:bCs w:val="1"/>
          <w:rtl/>
        </w:rPr>
        <w:t xml:space="preserve">
الوافي بالوفيات،(دار فرانز شتاينر، فيسبادن، ألمانيا / دار إحياء التراث - بيروت،2000،ط 1،ج 22،ص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2026-10-24T11:01:22+00:00</dcterms:created>
  <dcterms:modified xsi:type="dcterms:W3CDTF">2026-10-24T11:01:22+00:00</dcterms:modified>
</cp:coreProperties>
</file>

<file path=docProps/custom.xml><?xml version="1.0" encoding="utf-8"?>
<Properties xmlns="http://schemas.openxmlformats.org/officeDocument/2006/custom-properties" xmlns:vt="http://schemas.openxmlformats.org/officeDocument/2006/docPropsVTypes"/>
</file>