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الدباج الإشبيلي
</w:t>
      </w:r>
    </w:p>
    <w:p>
      <w:pPr>
        <w:jc w:val="start"/>
        <w:bidi/>
      </w:pPr>
      <w:r>
        <w:rPr>
          <w:rFonts w:ascii="arial" w:hAnsi="arial" w:eastAsia="arial" w:cs="arial"/>
          <w:sz w:val="28"/>
          <w:szCs w:val="28"/>
          <w:b w:val="1"/>
          <w:bCs w:val="1"/>
          <w:rtl/>
        </w:rPr>
        <w:t xml:space="preserve">الدباج الإشبيلي
</w:t>
      </w:r>
    </w:p>
    <w:p>
      <w:pPr/>
      <w:r>
        <w:rPr/>
        <w:t xml:space="preserve">الدباج الإشبيلي  علي بن جابر بن علي.</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علي بن جابر أبو الحسن الدباج المغربي
</w:t>
      </w:r>
    </w:p>
    <w:p>
      <w:pPr/>
      <w:r>
        <w:rPr/>
        <w:t xml:space="preserve">علي بن جابر أبو الحسن الدباج المغربي علي بن جابر بن علي الإمام أبو الحسن الإشبيلي الدباج مقرئ الأندلس، كان من أهل الفضل والصلاح، تصدر لإقراء القرآن والعربية نحوا من خمسين سنة، هاله نطق النواقيس، وخرس الأذان لما دخل الروم إشبيلة، فلم يزل يتأسف ويضطرب ارتماضا لذلك، إلى أن قضى نحبه سنة ست وأربعين وستمائة، وكان يقرئ كتاب سيبويه.</w:t>
      </w:r>
    </w:p>
    <w:p>
      <w:pPr>
        <w:jc w:val="start"/>
        <w:bidi/>
      </w:pPr>
      <w:r>
        <w:rPr>
          <w:sz w:val="24"/>
          <w:szCs w:val="24"/>
          <w:b w:val="1"/>
          <w:bCs w:val="1"/>
          <w:rtl/>
        </w:rPr>
        <w:t xml:space="preserve">
الوافي بالوفيات،(دار فرانز شتاينر، فيسبادن، ألمانيا / دار إحياء التراث - بيروت،2000،ط 1،ج 20،ص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علي بن جابر بن علي، أبو الحسن اللخمي، الإشبيلي، المعروف بالدباج
</w:t>
      </w:r>
    </w:p>
    <w:p>
      <w:pPr/>
      <w:r>
        <w:rPr/>
        <w:t xml:space="preserve">علي بن جابر بن علي، أبو الحسن اللخمي، الإشبيلي، المعروف بالدباج </w:t>
      </w:r>
    </w:p>
    <w:p/>
    <w:p>
      <w:pPr/>
      <w:r>
        <w:rPr/>
        <w:t xml:space="preserve">صنعة لأبيه، إمام في العربية والقراءات، أخذها عن أبي ذر الخشني وابن خروف وأقام متصدرا للاشتغال نحوا من خمسين سنة.</w:t>
      </w:r>
    </w:p>
    <w:p/>
    <w:p>
      <w:pPr/>
      <w:r>
        <w:rPr/>
        <w:t xml:space="preserve">توفي سنة ست وأربعين وستمائة </w:t>
      </w:r>
    </w:p>
    <w:p/>
    <w:p>
      <w:pPr/>
      <w:r>
        <w:rPr/>
        <w:t xml:space="preserve">ولما دخل الروم إشبيلية صلحا هاله نطق النواقيس وخرس الأذان، فما زال يتأسف ويضطرب إلى أن قضى نحبه.</w:t>
      </w:r>
    </w:p>
    <w:p/>
    <w:p>
      <w:pPr/>
      <w:r>
        <w:rPr/>
        <w:t xml:space="preserve">وزاد على البيت المعروف.</w:t>
      </w:r>
    </w:p>
    <w:p/>
    <w:p>
      <w:pPr>
        <w:jc w:val="center"/>
      </w:pPr>
      <w:r>
        <w:rPr>
          <w:color w:val="ff0000"/>
        </w:rPr>
        <w:t xml:space="preserve">بأفعل وبأفعال وأفعلة</w:t>
      </w:r>
      <w:r>
        <w:rPr>
          <w:color w:val="ff0000"/>
        </w:rPr>
        <w:t xml:space="preserve">      </w:t>
      </w:r>
      <w:r>
        <w:rPr>
          <w:color w:val="ff0000"/>
        </w:rPr>
        <w:t xml:space="preserve">وفعلة يعرف الأدنى من العدد</w:t>
      </w:r>
    </w:p>
    <w:p/>
    <w:p>
      <w:pPr/>
      <w:r>
        <w:rPr/>
        <w:t xml:space="preserve">بيتا آخر وهو:</w:t>
      </w:r>
    </w:p>
    <w:p/>
    <w:p>
      <w:pPr>
        <w:jc w:val="center"/>
      </w:pPr>
      <w:r>
        <w:rPr>
          <w:color w:val="ff0000"/>
        </w:rPr>
        <w:t xml:space="preserve">وسالما الجمع أيضا داخل معها</w:t>
      </w:r>
      <w:r>
        <w:rPr>
          <w:color w:val="ff0000"/>
        </w:rPr>
        <w:t xml:space="preserve">      </w:t>
      </w:r>
      <w:r>
        <w:rPr>
          <w:color w:val="ff0000"/>
        </w:rPr>
        <w:t xml:space="preserve">في ذلك الحكم فاحفظها ولا تزد</w:t>
      </w:r>
    </w:p>
    <w:p/>
    <w:p>
      <w:pPr>
        <w:jc w:val="start"/>
        <w:bidi/>
      </w:pPr>
      <w:r>
        <w:rPr>
          <w:sz w:val="24"/>
          <w:szCs w:val="24"/>
          <w:b w:val="1"/>
          <w:bCs w:val="1"/>
          <w:rtl/>
        </w:rPr>
        <w:t xml:space="preserve">
البلغة فى تراجم أئمة النحو واللغة،(جمعية إحياء التراث الإسلامي - الكويت،1986،ط 1،ج 1،ص 42)/(دار سعد الدين للطباعة والنشر والتوزيع،2000،ط 1،ج 1،ص 204)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عليّ بن جابر بن عليّ اللخميّ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إشارة التعيين في تراجم النحاة واللغويين،(مركز الملك فيصل للبحوث والدراسات الإسلامية،1986،ط 1،ج 1،ص 212)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علي بن جابر بن علي الإشبيلي الدباج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2،ص 1576)</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2026-10-24T12:09:40+00:00</dcterms:created>
  <dcterms:modified xsi:type="dcterms:W3CDTF">2026-10-24T12:09:40+00:00</dcterms:modified>
</cp:coreProperties>
</file>

<file path=docProps/custom.xml><?xml version="1.0" encoding="utf-8"?>
<Properties xmlns="http://schemas.openxmlformats.org/officeDocument/2006/custom-properties" xmlns:vt="http://schemas.openxmlformats.org/officeDocument/2006/docPropsVTypes"/>
</file>