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دقيق العيد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دقيق العيد
</w:t>
      </w:r>
    </w:p>
    <w:p>
      <w:pPr/>
      <w:r>
        <w:rPr/>
        <w:t xml:space="preserve">ابن دقيق العيد تاج الدين أحمد بن علي أخو الشيخ تقي الدين.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دقيق العيد
</w:t>
      </w:r>
    </w:p>
    <w:p>
      <w:pPr/>
      <w:r>
        <w:rPr/>
        <w:t xml:space="preserve">ابن دقيق العيد تاج الدين أحمد بن علي.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العصر وأعوان النصر،(دار الفكر المعاصر، بيروت - لبنان / دار الفكر، دمشق - سوريا،1998،ط 1،ج 2،ص 354)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2026-10-23T08:53:12+00:00</dcterms:created>
  <dcterms:modified xsi:type="dcterms:W3CDTF">2026-10-23T08:53:12+00:00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