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دنينة الواعظ
</w:t>
      </w:r>
    </w:p>
    <w:p>
      <w:pPr>
        <w:jc w:val="start"/>
        <w:bidi/>
      </w:pPr>
      <w:r>
        <w:rPr>
          <w:rFonts w:ascii="arial" w:hAnsi="arial" w:eastAsia="arial" w:cs="arial"/>
          <w:sz w:val="28"/>
          <w:szCs w:val="28"/>
          <w:b w:val="1"/>
          <w:bCs w:val="1"/>
          <w:rtl/>
        </w:rPr>
        <w:t xml:space="preserve">ابن دنينة الواعظ
</w:t>
      </w:r>
    </w:p>
    <w:p>
      <w:pPr/>
      <w:r>
        <w:rPr/>
        <w:t xml:space="preserve">ابن دنينة الواعظ  اسمه علي بن عثمان بن مجلي.</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نظام الدين ابن دنينة
</w:t>
      </w:r>
    </w:p>
    <w:p>
      <w:pPr/>
      <w:r>
        <w:rPr/>
        <w:t xml:space="preserve">نظام الدين ابن دنينة علي بن عثمان بن مجلي أبو الحسن نظام الدين الجزري الواعظ ابن دنينة -بدال مهملة مضمومة ونونين بينهما ياء آخر الحروف ساكنة- الشاعر. كان كثير التطواف والأسفار. مدح الأمراء وقرأ الوعظ على ابن الجوزي، وتفقه على ابن الخل، وسمع من أبي الفتح ابن المنداى. وكان ظريفا خفيف الروح. توفي بين قارا والنبك سنة تسع وعشرين وست مائة، ومن شعره:</w:t>
      </w:r>
    </w:p>
    <w:p>
      <w:pPr>
        <w:jc w:val="start"/>
        <w:bidi/>
      </w:pPr>
      <w:r>
        <w:rPr>
          <w:sz w:val="24"/>
          <w:szCs w:val="24"/>
          <w:b w:val="1"/>
          <w:bCs w:val="1"/>
          <w:rtl/>
        </w:rPr>
        <w:t xml:space="preserve">
الوافي بالوفيات،(دار فرانز شتاينر، فيسبادن، ألمانيا / دار إحياء التراث - بيروت،2000،ط 1،ج 21،ص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2026-10-23T14:57:57+00:00</dcterms:created>
  <dcterms:modified xsi:type="dcterms:W3CDTF">2026-10-23T14:57:57+00:00</dcterms:modified>
</cp:coreProperties>
</file>

<file path=docProps/custom.xml><?xml version="1.0" encoding="utf-8"?>
<Properties xmlns="http://schemas.openxmlformats.org/officeDocument/2006/custom-properties" xmlns:vt="http://schemas.openxmlformats.org/officeDocument/2006/docPropsVTypes"/>
</file>