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صاحب أبي حنيفة
</w:t>
      </w:r>
    </w:p>
    <w:p>
      <w:pPr>
        <w:jc w:val="start"/>
        <w:bidi/>
      </w:pPr>
      <w:r>
        <w:rPr>
          <w:rFonts w:ascii="arial" w:hAnsi="arial" w:eastAsia="arial" w:cs="arial"/>
          <w:sz w:val="28"/>
          <w:szCs w:val="28"/>
          <w:b w:val="1"/>
          <w:bCs w:val="1"/>
          <w:rtl/>
        </w:rPr>
        <w:t xml:space="preserve">صاحب أبي حنيفة
</w:t>
      </w:r>
    </w:p>
    <w:p>
      <w:pPr/>
      <w:r>
        <w:rPr/>
        <w:t xml:space="preserve">صاحب أبي حنيفة زفر بن الهذيل العنبري الفقيه صاحب أبي حنيفة. مولده سنة ست عشرة ووفاته سنة ثمان وخمسين ومائة. روى عن الأعمش وإسماعيل بن أبي خالد وابن إسحاق وحجاج بن أرطاة وأبي حنيفة وجماعة. ومات كهلا. قال أبو نعيم: كان ثقة مأمونا. وقال: ابن معين: ثقة مأمون رجع عن الرأي وأقبل على العبادة. وقال ابن سعد: لم يكن في الحديث بشيء. وروى علي بن مدرك عن الحسن بن زياد قال: كان زفر وداود الطائي متواخيين فأما داود فترك الفقه وأقبل على العبادة وأما زفر فإنه جمع الفقه مع العبادة.</w:t>
      </w:r>
    </w:p>
    <w:p/>
    <w:p>
      <w:pPr/>
      <w:r>
        <w:rPr/>
        <w:t xml:space="preserve">ابن الزقاق الشاعر البلنسي: اسمه علي بن عطية الله بن مطرف.</w:t>
      </w:r>
    </w:p>
    <w:p/>
    <w:p>
      <w:pPr/>
      <w:r>
        <w:rPr/>
        <w:t xml:space="preserve">ابن الزقزوق: اسمه محمد بن عمر.</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2026-10-24T05:09:13+00:00</dcterms:created>
  <dcterms:modified xsi:type="dcterms:W3CDTF">2026-10-24T05:09:13+00:00</dcterms:modified>
</cp:coreProperties>
</file>

<file path=docProps/custom.xml><?xml version="1.0" encoding="utf-8"?>
<Properties xmlns="http://schemas.openxmlformats.org/officeDocument/2006/custom-properties" xmlns:vt="http://schemas.openxmlformats.org/officeDocument/2006/docPropsVTypes"/>
</file>