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  <w:bidi/>
      </w:pPr>
      <w:r>
        <w:rPr>
          <w:rFonts w:ascii="arial" w:hAnsi="arial" w:eastAsia="arial" w:cs="arial"/>
          <w:sz w:val="32"/>
          <w:szCs w:val="32"/>
          <w:b w:val="1"/>
          <w:bCs w:val="1"/>
          <w:rtl/>
        </w:rPr>
        <w:t xml:space="preserve">السبعي
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السبعي
</w:t>
      </w:r>
    </w:p>
    <w:p>
      <w:pPr/>
      <w:r>
        <w:rPr/>
        <w:t xml:space="preserve">السبعي أبو إسحاق، اسمه عمرو بن عبد الله.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الوافي بالوفيات،(دار فرانز شتاينر، فيسبادن، ألمانيا / دار إحياء التراث - بيروت،2000،ط 1،ج 15،ص 0)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jc w:val="both"/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rFonts w:ascii="arial" w:hAnsi="arial" w:eastAsia="arial" w:cs="arial"/>
      <w:sz w:val="28"/>
      <w:szCs w:val="28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2026-10-22T19:02:05+00:00</dcterms:created>
  <dcterms:modified xsi:type="dcterms:W3CDTF">2026-10-22T19:02:05+00:00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