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الشريشي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الشريشي
</w:t>
      </w:r>
    </w:p>
    <w:p>
      <w:pPr/>
      <w:r>
        <w:rPr/>
        <w:t xml:space="preserve">ابن الشريشي  محمد بن أحمد بن محمد، ابو بكر جمال الدين البكري الوائلي الشريشي: فقيه شافعي. اصله من شريش ووفاته في دمشق ولى قضاء حمص، ثم الحكم في دمشق، يوما واحدا ومرض ومات له كتب منها (شرح المنهاج) اربعة اجزاء، و (زوائد الحاوي الصغير على المنهاج) وله خطب ونظم. وكان حسن المحاضرة دمث الخلق.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الأعلام،(دار العلم للملايين - بيروت،2002،ط 15،ج 5،ص 328)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الشريشي جمال الدين
</w:t>
      </w:r>
    </w:p>
    <w:p>
      <w:pPr/>
      <w:r>
        <w:rPr/>
        <w:t xml:space="preserve">الشريشي جمال الدين محمد بن أحمد بن محمد؛ وولده كمال الدين: أحمد بن محمد بن أحمد.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2026-10-24T11:51:17+00:00</dcterms:created>
  <dcterms:modified xsi:type="dcterms:W3CDTF">2026-10-24T11:51:17+00:00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