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سقف الأتون
</w:t>
      </w:r>
    </w:p>
    <w:p>
      <w:pPr>
        <w:jc w:val="start"/>
        <w:bidi/>
      </w:pPr>
      <w:r>
        <w:rPr>
          <w:rFonts w:ascii="arial" w:hAnsi="arial" w:eastAsia="arial" w:cs="arial"/>
          <w:sz w:val="28"/>
          <w:szCs w:val="28"/>
          <w:b w:val="1"/>
          <w:bCs w:val="1"/>
          <w:rtl/>
        </w:rPr>
        <w:t xml:space="preserve">ابن سقف الأتون
</w:t>
      </w:r>
    </w:p>
    <w:p>
      <w:pPr/>
      <w:r>
        <w:rPr/>
        <w:t xml:space="preserve">ابن سقف الأتون عبد الرحمن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شقف الأتون البغداذي
</w:t>
      </w:r>
    </w:p>
    <w:p>
      <w:pPr/>
      <w:r>
        <w:rPr/>
        <w:t xml:space="preserve">ابن شقف الأتون البغداذي عبد الرحمن بن علي بن حمزة بن أحمد بن حمزة، أبو محمد المقرئ المعروف بابن شقف الأتون البغداذي. قرأ بالروايات على والده وعلى أبي بكر محمد بن الحسين المزرفي، وأبي القاسم هبة الله بن أحمد بن عمر الحريري، والشريف أبي الفضل محمد بن عبد الله بن المهتدي، وعبد الله سبط ابن الخياط وغيرهم. وسمع من ابن الحصين، وابن البناء، وأبي منصور عبد الرحمن بن محمد الفزاز وغيرهم، توفي سنة ست وسبعين وخمس مائة. </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2026-10-23T10:11:46+00:00</dcterms:created>
  <dcterms:modified xsi:type="dcterms:W3CDTF">2026-10-23T10:11:46+00:00</dcterms:modified>
</cp:coreProperties>
</file>

<file path=docProps/custom.xml><?xml version="1.0" encoding="utf-8"?>
<Properties xmlns="http://schemas.openxmlformats.org/officeDocument/2006/custom-properties" xmlns:vt="http://schemas.openxmlformats.org/officeDocument/2006/docPropsVTypes"/>
</file>