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الشحنة الشاعر
</w:t>
      </w:r>
    </w:p>
    <w:p>
      <w:pPr>
        <w:jc w:val="start"/>
        <w:bidi/>
      </w:pPr>
      <w:r>
        <w:rPr>
          <w:rFonts w:ascii="arial" w:hAnsi="arial" w:eastAsia="arial" w:cs="arial"/>
          <w:sz w:val="28"/>
          <w:szCs w:val="28"/>
          <w:b w:val="1"/>
          <w:bCs w:val="1"/>
          <w:rtl/>
        </w:rPr>
        <w:t xml:space="preserve">ابن الشحنة الشاعر
</w:t>
      </w:r>
    </w:p>
    <w:p>
      <w:pPr/>
      <w:r>
        <w:rPr/>
        <w:t xml:space="preserve">ابن الشحنة الشاعر اسمه عمر بن محمد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الشحنة الموصلي
</w:t>
      </w:r>
    </w:p>
    <w:p>
      <w:pPr/>
      <w:r>
        <w:rPr/>
        <w:t xml:space="preserve">ابن الشحنة الموصلي عمر بن محمد بن علي بن أبي نصر: الأديب البارع، أبو حفص، الأصبهاني، الموصلي، الشاعر، عرف بابن الشحنة. </w:t>
      </w:r>
    </w:p>
    <w:p/>
    <w:p>
      <w:pPr/>
      <w:r>
        <w:rPr/>
        <w:t xml:space="preserve">كان سلط اللسان، كثير الهجو، مدح السلطان صلاح الدين بالشام، وسجنه صاحب الموصل نور الدين أرسلان شاه، حتى مات سنة ثمان وستمائة. </w:t>
      </w:r>
    </w:p>
    <w:p/>
    <w:p>
      <w:pPr/>
      <w:r>
        <w:rPr/>
        <w:t xml:space="preserve">ومن شعره من قصيدة، مدح بها السلطان صلاح الدين بن أيوب: </w:t>
      </w:r>
    </w:p>
    <w:p/>
    <w:p>
      <w:pPr>
        <w:jc w:val="center"/>
      </w:pPr>
      <w:r>
        <w:rPr>
          <w:color w:val="ff0000"/>
        </w:rPr>
        <w:t xml:space="preserve">وقالت لي الآمال إن كنت لاحقا</w:t>
      </w:r>
      <w:r>
        <w:rPr>
          <w:color w:val="ff0000"/>
        </w:rPr>
        <w:t xml:space="preserve">      </w:t>
      </w:r>
      <w:r>
        <w:rPr>
          <w:color w:val="ff0000"/>
        </w:rPr>
        <w:t xml:space="preserve">بأبناء أيوب فأنت الموفق</w:t>
      </w:r>
    </w:p>
    <w:p/>
    <w:p>
      <w:pPr/>
      <w:r>
        <w:rPr/>
        <w:t xml:space="preserve">فطرب له صلاح الدين، وأمر له بجائزة جزيلة، وصار يحضر مجلسه، فصار يقع في حق مخدومه نور الدين، فقال صلاح الدين: بئس ما يعود المرء به نفسه من وقوعه في أعدائه، فكيف في صاحبه، فكيف مخدومه، فكيف في ملكه، وراءك أوسع لك. فرحل إلى الموصل، ونسي ذنبه، وظهر أن الذي جرى في مجلس صلاح الدين لم ينقل إلى نور الدين، فتغافل نور الدين عنه، وأعاد منادمته. </w:t>
      </w:r>
    </w:p>
    <w:p/>
    <w:p>
      <w:pPr/>
      <w:r>
        <w:rPr/>
        <w:t xml:space="preserve">ثم إنه خطرت له أبيات، فكتبها في ورقة، وجعلها في جيبه مع جملة أوراق الحوائج، وناولها للسلطان نور الدين، فتناولها، وقرأها، وفيها تلك الأبيات، ومنها قوله: </w:t>
      </w:r>
    </w:p>
    <w:p/>
    <w:p>
      <w:pPr>
        <w:jc w:val="center"/>
      </w:pPr>
      <w:r>
        <w:rPr>
          <w:color w:val="ff0000"/>
        </w:rPr>
        <w:t xml:space="preserve">وسموه نورا وهو والله ظلمة</w:t>
      </w:r>
      <w:r>
        <w:rPr>
          <w:color w:val="ff0000"/>
        </w:rPr>
        <w:t xml:space="preserve">      </w:t>
      </w:r>
      <w:r>
        <w:rPr>
          <w:color w:val="ff0000"/>
        </w:rPr>
        <w:t xml:space="preserve">وإن صحفوا قلنا نعم ذاك أليق</w:t>
      </w:r>
    </w:p>
    <w:p/>
    <w:p>
      <w:pPr/>
      <w:r>
        <w:rPr/>
        <w:t xml:space="preserve">فقال له السلطان: أبعد هذا شيء؟</w:t>
      </w:r>
    </w:p>
    <w:p/>
    <w:p>
      <w:pPr/>
      <w:r>
        <w:rPr/>
        <w:t xml:space="preserve">فقال: أقلني. </w:t>
      </w:r>
    </w:p>
    <w:p/>
    <w:p>
      <w:pPr/>
      <w:r>
        <w:rPr/>
        <w:t xml:space="preserve">قال: نعم بعد مائة جوكان، فضربه بالجواكين، وحبسه إلى أن مات في سنة ست وستمائة. </w:t>
      </w:r>
    </w:p>
    <w:p/>
    <w:p>
      <w:pPr/>
      <w:r>
        <w:rPr/>
        <w:t xml:space="preserve">ومن شعره: </w:t>
      </w:r>
    </w:p>
    <w:p/>
    <w:p>
      <w:pPr>
        <w:jc w:val="center"/>
      </w:pPr>
      <w:r>
        <w:rPr>
          <w:color w:val="ff0000"/>
        </w:rPr>
        <w:t xml:space="preserve">كانت سفينة آمالي ملججة</w:t>
      </w:r>
      <w:r>
        <w:rPr>
          <w:color w:val="ff0000"/>
        </w:rPr>
        <w:t xml:space="preserve">      </w:t>
      </w:r>
      <w:r>
        <w:rPr>
          <w:color w:val="ff0000"/>
        </w:rPr>
        <w:t xml:space="preserve">والآن أرسيها منكم على الجودي</w:t>
      </w:r>
    </w:p>
    <w:p/>
    <w:p>
      <w:pPr>
        <w:jc w:val="start"/>
        <w:bidi/>
      </w:pPr>
      <w:r>
        <w:rPr>
          <w:sz w:val="24"/>
          <w:szCs w:val="24"/>
          <w:b w:val="1"/>
          <w:bCs w:val="1"/>
          <w:rtl/>
        </w:rPr>
        <w:t xml:space="preserve">
الوافي بالوفيات،(دار فرانز شتاينر، فيسبادن، ألمانيا / دار إحياء التراث - بيروت،2000،ط 1،ج 23،ص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2026-10-22T21:51:23+00:00</dcterms:created>
  <dcterms:modified xsi:type="dcterms:W3CDTF">2026-10-22T21:51:23+00:00</dcterms:modified>
</cp:coreProperties>
</file>

<file path=docProps/custom.xml><?xml version="1.0" encoding="utf-8"?>
<Properties xmlns="http://schemas.openxmlformats.org/officeDocument/2006/custom-properties" xmlns:vt="http://schemas.openxmlformats.org/officeDocument/2006/docPropsVTypes"/>
</file>