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صالح أبو محمد
</w:t>
      </w:r>
    </w:p>
    <w:p>
      <w:pPr>
        <w:jc w:val="start"/>
        <w:bidi/>
      </w:pPr>
      <w:r>
        <w:rPr>
          <w:rFonts w:ascii="arial" w:hAnsi="arial" w:eastAsia="arial" w:cs="arial"/>
          <w:sz w:val="28"/>
          <w:szCs w:val="28"/>
          <w:b w:val="1"/>
          <w:bCs w:val="1"/>
          <w:rtl/>
        </w:rPr>
        <w:t xml:space="preserve">صالح أبو محمد
</w:t>
      </w:r>
    </w:p>
    <w:p>
      <w:pPr/>
      <w:r>
        <w:rPr/>
        <w:t xml:space="preserve">صالح أبو محمد صالح بن كيسان، أبو محمد، ويقال أبو الحارث، مولى امرأة من دوس، ويقال مولى غفار؛ رأى ابن عمر وحدث عن سالم وسليمان وعبيد الله وعروة وابن هرمز والزهري وغيرهم، وروى عنه عمرو بن دينار ومالك وعبد العزيز ابن عبد الله بن أبي سلمة الماجشون ومعمر وابن عيينة وغيرهم، واستقدمه الوليد، ومات بعد الأربعين ومائة، وكان يؤدب أولاد عمر بن عبد العزيز، ورمي بالقدر ولم يصح عنه، وكان ثقة كثير الحديث؛ قال البخاري وأبو أحمد الحاكم: هو مؤدب أولاد عمر بن عبد العزيز، وقال ابن معين: ليس في أصحاب الزهري أثبت من مالك ثم صالح بن كيسان ثم معمر بن يونس وابن عيينة والليث وإبراهيم بن سعد أشكال. وسئل أحمد بن حنبل عنه فقال: بخ بخ؛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2026-10-23T14:57:12+00:00</dcterms:created>
  <dcterms:modified xsi:type="dcterms:W3CDTF">2026-10-23T14:57:12+00:00</dcterms:modified>
</cp:coreProperties>
</file>

<file path=docProps/custom.xml><?xml version="1.0" encoding="utf-8"?>
<Properties xmlns="http://schemas.openxmlformats.org/officeDocument/2006/custom-properties" xmlns:vt="http://schemas.openxmlformats.org/officeDocument/2006/docPropsVTypes"/>
</file>