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صالح النحوي
</w:t>
      </w:r>
    </w:p>
    <w:p>
      <w:pPr>
        <w:jc w:val="start"/>
        <w:bidi/>
      </w:pPr>
      <w:r>
        <w:rPr>
          <w:rFonts w:ascii="arial" w:hAnsi="arial" w:eastAsia="arial" w:cs="arial"/>
          <w:sz w:val="28"/>
          <w:szCs w:val="28"/>
          <w:b w:val="1"/>
          <w:bCs w:val="1"/>
          <w:rtl/>
        </w:rPr>
        <w:t xml:space="preserve">أبو صالح النحوي
</w:t>
      </w:r>
    </w:p>
    <w:p>
      <w:pPr/>
      <w:r>
        <w:rPr/>
        <w:t xml:space="preserve">أبو صالح النحوي يحيى بن واقد.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يحيى بن واقد بن محمد بن عدي بن حذيم
</w:t>
      </w:r>
    </w:p>
    <w:p>
      <w:pPr/>
      <w:r>
        <w:rPr/>
        <w:t xml:space="preserve">يحيى بن واقد بن محمد بن عدي بن حذيم الطائي، أبو صالح البغدادي النحوي: أخذ عن الأصمعي وغيره، وسمع في حداثته من الحافظ هشيم بن بشير السلمي الواسطي ومن الامام الحافظ أبي بشر إسماعيل بن إبراهيم بن علية الأسدي البصري ومن ابن أبي زائدة وغيرهم.</w:t>
      </w:r>
    </w:p>
    <w:p/>
    <w:p>
      <w:pPr/>
      <w:r>
        <w:rPr/>
        <w:t xml:space="preserve">ولد ببغداد سنة خمس وستين ومائة ثم انتقل إلى البصرة فتوطنها وبها مات، وكان ثقة صدوقا إماما في العربية، أخذ عنه الشيوخ وتخرج به خلق كثير.</w:t>
      </w:r>
    </w:p>
    <w:p>
      <w:pPr>
        <w:jc w:val="start"/>
        <w:bidi/>
      </w:pPr>
      <w:r>
        <w:rPr>
          <w:sz w:val="24"/>
          <w:szCs w:val="24"/>
          <w:b w:val="1"/>
          <w:bCs w:val="1"/>
          <w:rtl/>
        </w:rPr>
        <w:t xml:space="preserve">
معجم الأدباء / إرشاد الأريب إلى معرفة الأديب،(دار الغرب الإسلامي - بيروت،1993،ط 0،ج 6،ص 2833)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صالح يحيى بن واقد
</w:t>
      </w:r>
    </w:p>
    <w:p>
      <w:pPr/>
      <w:r>
        <w:rPr/>
        <w:t xml:space="preserve">أبو صالح يحيى بن واقد </w:t>
      </w:r>
    </w:p>
    <w:p/>
    <w:p>
      <w:pPr/>
      <w:r>
        <w:rPr/>
        <w:t xml:space="preserve">وأما أبو صالح يحيى بن واقد بن محمد بن عدي بن خزيم النحوي؛ فإنه أخذ عن الأصمعي، وكان ولد في خلافة المهدي سنة خمس وستين ومائة، وكان عالماً باللغة والنحو.</w:t>
      </w:r>
    </w:p>
    <w:p/>
    <w:p>
      <w:pPr/>
      <w:r>
        <w:rPr/>
        <w:t xml:space="preserve">وقال أبو نعيم الحافظ: وروي عن الأصمعي عن ابن هلال، قال: الأرض أربعة وعشرون فرسخاً، فاثنا عشر ألفاً للسودان، وثمانية آلاف للروم، وثلاثة آلاف للفرس، وألف للعرب.</w:t>
      </w:r>
    </w:p>
    <w:p>
      <w:pPr>
        <w:jc w:val="start"/>
        <w:bidi/>
      </w:pPr>
      <w:r>
        <w:rPr>
          <w:sz w:val="24"/>
          <w:szCs w:val="24"/>
          <w:b w:val="1"/>
          <w:bCs w:val="1"/>
          <w:rtl/>
        </w:rPr>
        <w:t xml:space="preserve">
نزهة الألباء في طبقات الأدباء،(مكتبة المنار، الزرقاء - الأردن،1985،ط 3،ج 1،ص 136)/(دار الفكر العربي،1998،ط 1،ج 1،ص 156)/(مطبعة المعارف - بغداد،1959،ط 1،ج 1،ص 120)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يحيى بن واقد بن محمد بن عدي بن حاتم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3،ص 2915)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2026-10-22T18:47:44+00:00</dcterms:created>
  <dcterms:modified xsi:type="dcterms:W3CDTF">2026-10-22T18:47:44+00:00</dcterms:modified>
</cp:coreProperties>
</file>

<file path=docProps/custom.xml><?xml version="1.0" encoding="utf-8"?>
<Properties xmlns="http://schemas.openxmlformats.org/officeDocument/2006/custom-properties" xmlns:vt="http://schemas.openxmlformats.org/officeDocument/2006/docPropsVTypes"/>
</file>