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طرخان تقي الدين الشاغوري الشافعي
</w:t>
      </w:r>
    </w:p>
    <w:p>
      <w:pPr>
        <w:jc w:val="start"/>
        <w:bidi/>
      </w:pPr>
      <w:r>
        <w:rPr>
          <w:rFonts w:ascii="arial" w:hAnsi="arial" w:eastAsia="arial" w:cs="arial"/>
          <w:sz w:val="28"/>
          <w:szCs w:val="28"/>
          <w:b w:val="1"/>
          <w:bCs w:val="1"/>
          <w:rtl/>
        </w:rPr>
        <w:t xml:space="preserve">طرخان تقي الدين الشاغوري الشافعي
</w:t>
      </w:r>
    </w:p>
    <w:p>
      <w:pPr/>
      <w:r>
        <w:rPr/>
        <w:t xml:space="preserve">طرخان تقي الدين الشاغوري الشافعي طرخان بن ماضي بن جوشن بن علي الفقيه أبو عبد الله اليمني ثم الدمشقي الشاغوري الضرير الشافعي؛ سمع من أبي المعالي محمد بن يحيى القرشي وأبي القاسم بن مقاتل ومحمد بن كامل بن ديسم وغيرهم؛ روى عنه عبد الكافي الصقلي وابن خليل والشهاب القوصي وجماعة؛ وأم بالسلطان نور الدين، وكان يلقب تقي الدين، وهو والد إسحاق شيخ الشرف محمد ابن خطيب بيت الآبار، وتوفي سنة خمس وتسعين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طرخان القاضي تقى الدين أبو عبد اللَّه الساعودى الضرير.
</w:t>
      </w:r>
    </w:p>
    <w:p>
      <w:pPr/>
      <w:r>
        <w:rPr/>
        <w:t xml:space="preserve">طرخان القاضي تقى الدين أبو عبد اللَّه الساعودى الضرير. </w:t>
      </w:r>
    </w:p>
    <w:p/>
    <w:p>
      <w:pPr/>
      <w:r>
        <w:rPr/>
        <w:t xml:space="preserve">مات سنة، خمس وتسعين وخمسمائة.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‌‌طرخان بن ماضي بن جوشن بن علي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236)/(مكتبة الثقافة الدينية - مصر،1993،ط 1،ج 2،ص 745)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2026-10-24T03:11:22+00:00</dcterms:created>
  <dcterms:modified xsi:type="dcterms:W3CDTF">2026-10-24T03:11:22+00:00</dcterms:modified>
</cp:coreProperties>
</file>

<file path=docProps/custom.xml><?xml version="1.0" encoding="utf-8"?>
<Properties xmlns="http://schemas.openxmlformats.org/officeDocument/2006/custom-properties" xmlns:vt="http://schemas.openxmlformats.org/officeDocument/2006/docPropsVTypes"/>
</file>